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87" w:type="dxa"/>
        <w:tblLayout w:type="fixed"/>
        <w:tblLook w:val="01E0" w:firstRow="1" w:lastRow="1" w:firstColumn="1" w:lastColumn="1" w:noHBand="0" w:noVBand="0"/>
      </w:tblPr>
      <w:tblGrid>
        <w:gridCol w:w="3037"/>
        <w:gridCol w:w="6304"/>
      </w:tblGrid>
      <w:tr w:rsidR="00212447" w14:paraId="74FE753F" w14:textId="77777777">
        <w:trPr>
          <w:trHeight w:val="1350"/>
        </w:trPr>
        <w:tc>
          <w:tcPr>
            <w:tcW w:w="3037" w:type="dxa"/>
          </w:tcPr>
          <w:p w14:paraId="6C33478B" w14:textId="77777777" w:rsidR="00212447" w:rsidRDefault="00BC7F30">
            <w:pPr>
              <w:pStyle w:val="TableParagraph"/>
              <w:ind w:left="50"/>
              <w:rPr>
                <w:rFonts w:ascii="Calibri"/>
                <w:sz w:val="20"/>
              </w:rPr>
            </w:pPr>
            <w:r>
              <w:rPr>
                <w:rFonts w:ascii="Calibri"/>
                <w:noProof/>
                <w:sz w:val="20"/>
              </w:rPr>
              <w:drawing>
                <wp:inline distT="0" distB="0" distL="0" distR="0" wp14:anchorId="1E2222D3" wp14:editId="1E9EB486">
                  <wp:extent cx="1485900" cy="857250"/>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1485900" cy="857250"/>
                          </a:xfrm>
                          <a:prstGeom prst="rect">
                            <a:avLst/>
                          </a:prstGeom>
                        </pic:spPr>
                      </pic:pic>
                    </a:graphicData>
                  </a:graphic>
                </wp:inline>
              </w:drawing>
            </w:r>
          </w:p>
        </w:tc>
        <w:tc>
          <w:tcPr>
            <w:tcW w:w="6304" w:type="dxa"/>
          </w:tcPr>
          <w:p w14:paraId="064C834E" w14:textId="77777777" w:rsidR="00212447" w:rsidRDefault="00212447">
            <w:pPr>
              <w:pStyle w:val="TableParagraph"/>
              <w:spacing w:before="84"/>
              <w:rPr>
                <w:rFonts w:ascii="Calibri"/>
                <w:sz w:val="26"/>
              </w:rPr>
            </w:pPr>
          </w:p>
          <w:p w14:paraId="4055F8B7" w14:textId="77777777" w:rsidR="00212447" w:rsidRDefault="00BC7F30">
            <w:pPr>
              <w:pStyle w:val="TableParagraph"/>
              <w:ind w:left="595"/>
              <w:jc w:val="center"/>
              <w:rPr>
                <w:sz w:val="26"/>
              </w:rPr>
            </w:pPr>
            <w:r>
              <w:rPr>
                <w:color w:val="1F4E79"/>
                <w:sz w:val="26"/>
              </w:rPr>
              <w:t>FACULTAD</w:t>
            </w:r>
            <w:r>
              <w:rPr>
                <w:color w:val="1F4E79"/>
                <w:spacing w:val="-2"/>
                <w:sz w:val="26"/>
              </w:rPr>
              <w:t xml:space="preserve"> </w:t>
            </w:r>
            <w:r>
              <w:rPr>
                <w:color w:val="1F4E79"/>
                <w:sz w:val="26"/>
              </w:rPr>
              <w:t>DE</w:t>
            </w:r>
            <w:r>
              <w:rPr>
                <w:color w:val="1F4E79"/>
                <w:spacing w:val="2"/>
                <w:sz w:val="26"/>
              </w:rPr>
              <w:t xml:space="preserve"> </w:t>
            </w:r>
            <w:r>
              <w:rPr>
                <w:color w:val="1F4E79"/>
                <w:sz w:val="26"/>
              </w:rPr>
              <w:t>AGRONOM</w:t>
            </w:r>
            <w:r>
              <w:rPr>
                <w:rFonts w:ascii="Calibri" w:hAnsi="Calibri"/>
                <w:color w:val="1F4E79"/>
                <w:sz w:val="26"/>
              </w:rPr>
              <w:t>Í</w:t>
            </w:r>
            <w:r>
              <w:rPr>
                <w:color w:val="1F4E79"/>
                <w:sz w:val="26"/>
              </w:rPr>
              <w:t>A</w:t>
            </w:r>
            <w:r>
              <w:rPr>
                <w:color w:val="1F4E79"/>
                <w:spacing w:val="3"/>
                <w:sz w:val="26"/>
              </w:rPr>
              <w:t xml:space="preserve"> </w:t>
            </w:r>
            <w:r>
              <w:rPr>
                <w:color w:val="1F4E79"/>
                <w:sz w:val="26"/>
              </w:rPr>
              <w:t>Y</w:t>
            </w:r>
            <w:r>
              <w:rPr>
                <w:color w:val="1F4E79"/>
                <w:spacing w:val="-11"/>
                <w:sz w:val="26"/>
              </w:rPr>
              <w:t xml:space="preserve"> </w:t>
            </w:r>
            <w:r>
              <w:rPr>
                <w:color w:val="1F4E79"/>
                <w:sz w:val="26"/>
              </w:rPr>
              <w:t>SISTEMAS</w:t>
            </w:r>
            <w:r>
              <w:rPr>
                <w:color w:val="1F4E79"/>
                <w:spacing w:val="2"/>
                <w:sz w:val="26"/>
              </w:rPr>
              <w:t xml:space="preserve"> </w:t>
            </w:r>
            <w:r>
              <w:rPr>
                <w:color w:val="1F4E79"/>
                <w:spacing w:val="-2"/>
                <w:sz w:val="26"/>
              </w:rPr>
              <w:t>NATUTRALES</w:t>
            </w:r>
          </w:p>
          <w:p w14:paraId="3D3352DB" w14:textId="77777777" w:rsidR="00212447" w:rsidRDefault="00BC7F30">
            <w:pPr>
              <w:pStyle w:val="TableParagraph"/>
              <w:spacing w:before="53"/>
              <w:ind w:left="595" w:right="11"/>
              <w:jc w:val="center"/>
              <w:rPr>
                <w:sz w:val="26"/>
              </w:rPr>
            </w:pPr>
            <w:r>
              <w:rPr>
                <w:color w:val="1F4E79"/>
                <w:sz w:val="26"/>
              </w:rPr>
              <w:t>Informe</w:t>
            </w:r>
            <w:r>
              <w:rPr>
                <w:color w:val="1F4E79"/>
                <w:spacing w:val="-6"/>
                <w:sz w:val="26"/>
              </w:rPr>
              <w:t xml:space="preserve"> </w:t>
            </w:r>
            <w:r>
              <w:rPr>
                <w:color w:val="1F4E79"/>
                <w:sz w:val="26"/>
              </w:rPr>
              <w:t>de</w:t>
            </w:r>
            <w:r>
              <w:rPr>
                <w:color w:val="1F4E79"/>
                <w:spacing w:val="6"/>
                <w:sz w:val="26"/>
              </w:rPr>
              <w:t xml:space="preserve"> </w:t>
            </w:r>
            <w:r>
              <w:rPr>
                <w:color w:val="1F4E79"/>
                <w:sz w:val="26"/>
              </w:rPr>
              <w:t>Pr</w:t>
            </w:r>
            <w:r>
              <w:rPr>
                <w:rFonts w:ascii="Calibri" w:hAnsi="Calibri"/>
                <w:color w:val="1F4E79"/>
                <w:sz w:val="26"/>
              </w:rPr>
              <w:t>á</w:t>
            </w:r>
            <w:r>
              <w:rPr>
                <w:color w:val="1F4E79"/>
                <w:sz w:val="26"/>
              </w:rPr>
              <w:t>ctica</w:t>
            </w:r>
            <w:r>
              <w:rPr>
                <w:color w:val="1F4E79"/>
                <w:spacing w:val="-9"/>
                <w:sz w:val="26"/>
              </w:rPr>
              <w:t xml:space="preserve"> </w:t>
            </w:r>
            <w:r>
              <w:rPr>
                <w:color w:val="1F4E79"/>
                <w:sz w:val="26"/>
              </w:rPr>
              <w:t>de</w:t>
            </w:r>
            <w:r>
              <w:rPr>
                <w:color w:val="1F4E79"/>
                <w:spacing w:val="5"/>
                <w:sz w:val="26"/>
              </w:rPr>
              <w:t xml:space="preserve"> </w:t>
            </w:r>
            <w:r>
              <w:rPr>
                <w:color w:val="1F4E79"/>
                <w:sz w:val="26"/>
              </w:rPr>
              <w:t>Verano</w:t>
            </w:r>
            <w:r>
              <w:rPr>
                <w:color w:val="1F4E79"/>
                <w:spacing w:val="-1"/>
                <w:sz w:val="26"/>
              </w:rPr>
              <w:t xml:space="preserve"> </w:t>
            </w:r>
            <w:r>
              <w:rPr>
                <w:color w:val="1F4E79"/>
                <w:spacing w:val="-5"/>
                <w:sz w:val="26"/>
              </w:rPr>
              <w:t>II</w:t>
            </w:r>
          </w:p>
        </w:tc>
      </w:tr>
    </w:tbl>
    <w:p w14:paraId="75234E13" w14:textId="77777777" w:rsidR="00212447" w:rsidRDefault="00212447" w:rsidP="007E2651">
      <w:pPr>
        <w:pStyle w:val="Textoindependiente"/>
        <w:spacing w:line="360" w:lineRule="auto"/>
      </w:pPr>
    </w:p>
    <w:p w14:paraId="166FCC0D" w14:textId="77777777" w:rsidR="007E2651" w:rsidRDefault="007E2651" w:rsidP="007E2651">
      <w:pPr>
        <w:pStyle w:val="Textoindependiente"/>
        <w:spacing w:line="360" w:lineRule="auto"/>
      </w:pPr>
    </w:p>
    <w:p w14:paraId="76EF75E3" w14:textId="77777777" w:rsidR="007E2651" w:rsidRDefault="007E2651" w:rsidP="007E2651">
      <w:pPr>
        <w:pStyle w:val="Textoindependiente"/>
        <w:spacing w:line="360" w:lineRule="auto"/>
      </w:pPr>
    </w:p>
    <w:p w14:paraId="6A9315BF" w14:textId="77777777" w:rsidR="007E2651" w:rsidRDefault="007E2651" w:rsidP="007E2651">
      <w:pPr>
        <w:pStyle w:val="Textoindependiente"/>
        <w:spacing w:line="360" w:lineRule="auto"/>
      </w:pPr>
    </w:p>
    <w:p w14:paraId="15011C3B" w14:textId="77777777" w:rsidR="007E2651" w:rsidRPr="007E2651" w:rsidRDefault="007E2651" w:rsidP="007E2651">
      <w:pPr>
        <w:pStyle w:val="Textoindependiente"/>
        <w:spacing w:line="360" w:lineRule="auto"/>
      </w:pPr>
    </w:p>
    <w:p w14:paraId="66773552" w14:textId="77777777" w:rsidR="00212447" w:rsidRPr="007E2651" w:rsidRDefault="00212447" w:rsidP="007E2651">
      <w:pPr>
        <w:pStyle w:val="Textoindependiente"/>
        <w:spacing w:line="360" w:lineRule="auto"/>
      </w:pPr>
    </w:p>
    <w:p w14:paraId="064585E6" w14:textId="77777777" w:rsidR="00212447" w:rsidRPr="007E2651" w:rsidRDefault="00212447" w:rsidP="007E2651">
      <w:pPr>
        <w:pStyle w:val="Textoindependiente"/>
        <w:spacing w:before="245" w:line="360" w:lineRule="auto"/>
      </w:pPr>
    </w:p>
    <w:p w14:paraId="342E8CBE" w14:textId="77777777" w:rsidR="00212447" w:rsidRPr="007E2651" w:rsidRDefault="00BC7F30" w:rsidP="007E2651">
      <w:pPr>
        <w:pStyle w:val="Textoindependiente"/>
        <w:spacing w:line="360" w:lineRule="auto"/>
        <w:ind w:right="465"/>
        <w:jc w:val="center"/>
      </w:pPr>
      <w:r w:rsidRPr="007E2651">
        <w:t>INFORME</w:t>
      </w:r>
      <w:r w:rsidRPr="007E2651">
        <w:rPr>
          <w:spacing w:val="-7"/>
        </w:rPr>
        <w:t xml:space="preserve"> </w:t>
      </w:r>
      <w:r w:rsidRPr="007E2651">
        <w:t>DE</w:t>
      </w:r>
      <w:r w:rsidRPr="007E2651">
        <w:rPr>
          <w:spacing w:val="-8"/>
        </w:rPr>
        <w:t xml:space="preserve"> </w:t>
      </w:r>
      <w:r w:rsidRPr="007E2651">
        <w:t>PRÁCTICA</w:t>
      </w:r>
      <w:r w:rsidRPr="007E2651">
        <w:rPr>
          <w:spacing w:val="-7"/>
        </w:rPr>
        <w:t xml:space="preserve"> </w:t>
      </w:r>
      <w:r w:rsidRPr="007E2651">
        <w:t>DE</w:t>
      </w:r>
      <w:r w:rsidRPr="007E2651">
        <w:rPr>
          <w:spacing w:val="2"/>
        </w:rPr>
        <w:t xml:space="preserve"> </w:t>
      </w:r>
      <w:r w:rsidRPr="007E2651">
        <w:t>VERANO</w:t>
      </w:r>
      <w:r w:rsidRPr="007E2651">
        <w:rPr>
          <w:spacing w:val="-6"/>
        </w:rPr>
        <w:t xml:space="preserve"> </w:t>
      </w:r>
      <w:r w:rsidRPr="007E2651">
        <w:rPr>
          <w:spacing w:val="-5"/>
        </w:rPr>
        <w:t>II</w:t>
      </w:r>
    </w:p>
    <w:p w14:paraId="78DA13BC" w14:textId="77777777" w:rsidR="00212447" w:rsidRPr="007E2651" w:rsidRDefault="00BC7F30" w:rsidP="007E2651">
      <w:pPr>
        <w:pStyle w:val="Textoindependiente"/>
        <w:spacing w:before="2" w:line="360" w:lineRule="auto"/>
        <w:ind w:right="472"/>
        <w:jc w:val="center"/>
      </w:pPr>
      <w:r w:rsidRPr="007E2651">
        <w:t>Práctica</w:t>
      </w:r>
      <w:r w:rsidRPr="007E2651">
        <w:rPr>
          <w:spacing w:val="-5"/>
        </w:rPr>
        <w:t xml:space="preserve"> </w:t>
      </w:r>
      <w:r w:rsidRPr="007E2651">
        <w:rPr>
          <w:spacing w:val="-2"/>
        </w:rPr>
        <w:t>Profesional</w:t>
      </w:r>
    </w:p>
    <w:p w14:paraId="613414C5" w14:textId="543B690D" w:rsidR="00212447" w:rsidRPr="007E2651" w:rsidRDefault="0030071B" w:rsidP="007E2651">
      <w:pPr>
        <w:pStyle w:val="Textoindependiente"/>
        <w:spacing w:before="231" w:line="360" w:lineRule="auto"/>
        <w:ind w:left="894" w:right="518"/>
        <w:jc w:val="center"/>
      </w:pPr>
      <w:r w:rsidRPr="007E2651">
        <w:t xml:space="preserve">Diseño de una propuesta de restauración ecológica compatible con sistemas ganaderos para la expansión del programa de la Fundación Alerce 3000, </w:t>
      </w:r>
      <w:r w:rsidR="007E2651" w:rsidRPr="007E2651">
        <w:t>l</w:t>
      </w:r>
      <w:r w:rsidRPr="007E2651">
        <w:t>ocalidad de Vodudahue, comuna de Hualaihué, Región de Los Lagos, Chile.</w:t>
      </w:r>
    </w:p>
    <w:p w14:paraId="6731DF32" w14:textId="77777777" w:rsidR="0030071B" w:rsidRPr="007E2651" w:rsidRDefault="0030071B" w:rsidP="007E2651">
      <w:pPr>
        <w:pStyle w:val="Textoindependiente"/>
        <w:spacing w:line="360" w:lineRule="auto"/>
        <w:ind w:left="897" w:right="518"/>
        <w:jc w:val="center"/>
      </w:pPr>
    </w:p>
    <w:p w14:paraId="73C35113" w14:textId="5E102291" w:rsidR="007E2651" w:rsidRDefault="007E2651" w:rsidP="007E2651">
      <w:pPr>
        <w:pStyle w:val="Textoindependiente"/>
        <w:spacing w:line="208" w:lineRule="exact"/>
        <w:ind w:left="897" w:right="518"/>
        <w:jc w:val="center"/>
      </w:pPr>
      <w:r>
        <w:t>Enero</w:t>
      </w:r>
      <w:r>
        <w:rPr>
          <w:spacing w:val="-3"/>
        </w:rPr>
        <w:t xml:space="preserve"> </w:t>
      </w:r>
      <w:r>
        <w:t>1 a</w:t>
      </w:r>
      <w:r>
        <w:rPr>
          <w:spacing w:val="-4"/>
        </w:rPr>
        <w:t xml:space="preserve"> </w:t>
      </w:r>
      <w:r>
        <w:t>marzo</w:t>
      </w:r>
      <w:r>
        <w:rPr>
          <w:spacing w:val="-2"/>
        </w:rPr>
        <w:t xml:space="preserve"> </w:t>
      </w:r>
      <w:r>
        <w:t>7</w:t>
      </w:r>
      <w:r>
        <w:rPr>
          <w:spacing w:val="1"/>
        </w:rPr>
        <w:t xml:space="preserve"> </w:t>
      </w:r>
      <w:r>
        <w:t>de</w:t>
      </w:r>
      <w:r>
        <w:rPr>
          <w:spacing w:val="3"/>
        </w:rPr>
        <w:t xml:space="preserve"> </w:t>
      </w:r>
      <w:r>
        <w:rPr>
          <w:spacing w:val="-4"/>
        </w:rPr>
        <w:t>2026</w:t>
      </w:r>
    </w:p>
    <w:p w14:paraId="727CC18B" w14:textId="77777777" w:rsidR="007E2651" w:rsidRDefault="007E2651" w:rsidP="007E2651">
      <w:pPr>
        <w:pStyle w:val="Textoindependiente"/>
        <w:spacing w:line="360" w:lineRule="auto"/>
        <w:ind w:left="897" w:right="518"/>
        <w:jc w:val="center"/>
      </w:pPr>
    </w:p>
    <w:p w14:paraId="561A2CCF" w14:textId="77777777" w:rsidR="00212447" w:rsidRPr="007E2651" w:rsidRDefault="00212447" w:rsidP="007E2651">
      <w:pPr>
        <w:pStyle w:val="Textoindependiente"/>
        <w:spacing w:line="360" w:lineRule="auto"/>
      </w:pPr>
    </w:p>
    <w:p w14:paraId="4535E24E" w14:textId="77777777" w:rsidR="00212447" w:rsidRPr="007E2651" w:rsidRDefault="00212447" w:rsidP="007E2651">
      <w:pPr>
        <w:pStyle w:val="Textoindependiente"/>
        <w:spacing w:line="360" w:lineRule="auto"/>
      </w:pPr>
    </w:p>
    <w:p w14:paraId="3BF719D6" w14:textId="77777777" w:rsidR="007E2651" w:rsidRDefault="007E2651" w:rsidP="007E2651">
      <w:pPr>
        <w:pStyle w:val="Textoindependiente"/>
        <w:spacing w:before="258"/>
      </w:pPr>
    </w:p>
    <w:p w14:paraId="11A6F93E" w14:textId="77777777" w:rsidR="007E2651" w:rsidRDefault="007E2651" w:rsidP="007E2651">
      <w:pPr>
        <w:pStyle w:val="Textoindependiente"/>
        <w:ind w:left="4244" w:right="3318"/>
      </w:pPr>
      <w:r>
        <w:t>Valeria Araya Valenzuela. Semestre 2, 2025</w:t>
      </w:r>
    </w:p>
    <w:p w14:paraId="4DB47279" w14:textId="27C9F090" w:rsidR="007E2651" w:rsidRDefault="007E2651" w:rsidP="007E2651">
      <w:pPr>
        <w:pStyle w:val="Textoindependiente"/>
        <w:spacing w:before="4"/>
        <w:ind w:left="4244" w:right="1296"/>
      </w:pPr>
      <w:r>
        <w:t>Reserva Vodudahue, Hualaihué, Los Lagos.</w:t>
      </w:r>
    </w:p>
    <w:p w14:paraId="3F37B3C3" w14:textId="77777777" w:rsidR="00212447" w:rsidRPr="007E2651" w:rsidRDefault="00212447" w:rsidP="007E2651">
      <w:pPr>
        <w:pStyle w:val="Textoindependiente"/>
        <w:spacing w:line="360" w:lineRule="auto"/>
      </w:pPr>
    </w:p>
    <w:p w14:paraId="56F8091E" w14:textId="77777777" w:rsidR="00212447" w:rsidRPr="007E2651" w:rsidRDefault="00212447" w:rsidP="007E2651">
      <w:pPr>
        <w:pStyle w:val="Textoindependiente"/>
        <w:spacing w:before="234" w:line="360" w:lineRule="auto"/>
      </w:pPr>
    </w:p>
    <w:p w14:paraId="0482B678" w14:textId="165AC41B" w:rsidR="00212447" w:rsidRPr="007E2651" w:rsidRDefault="622B1306" w:rsidP="007E2651">
      <w:pPr>
        <w:pStyle w:val="Textoindependiente"/>
        <w:spacing w:line="360" w:lineRule="auto"/>
        <w:ind w:left="4194"/>
      </w:pPr>
      <w:r w:rsidRPr="007E2651">
        <w:t>Segundo</w:t>
      </w:r>
      <w:r w:rsidRPr="007E2651">
        <w:rPr>
          <w:spacing w:val="5"/>
        </w:rPr>
        <w:t xml:space="preserve"> </w:t>
      </w:r>
      <w:r w:rsidRPr="007E2651">
        <w:t>Semestre</w:t>
      </w:r>
      <w:r w:rsidRPr="007E2651">
        <w:rPr>
          <w:spacing w:val="-7"/>
        </w:rPr>
        <w:t xml:space="preserve"> </w:t>
      </w:r>
      <w:r w:rsidRPr="007E2651">
        <w:t>de</w:t>
      </w:r>
      <w:r w:rsidRPr="007E2651">
        <w:rPr>
          <w:spacing w:val="3"/>
        </w:rPr>
        <w:t xml:space="preserve"> </w:t>
      </w:r>
      <w:r w:rsidRPr="007E2651">
        <w:rPr>
          <w:spacing w:val="-4"/>
        </w:rPr>
        <w:t>202</w:t>
      </w:r>
      <w:r w:rsidR="57EAE654" w:rsidRPr="007E2651">
        <w:rPr>
          <w:spacing w:val="-4"/>
        </w:rPr>
        <w:t>5</w:t>
      </w:r>
    </w:p>
    <w:p w14:paraId="259EC2A8" w14:textId="77777777" w:rsidR="00212447" w:rsidRPr="007E2651" w:rsidRDefault="00212447" w:rsidP="007E2651">
      <w:pPr>
        <w:pStyle w:val="Textoindependiente"/>
        <w:spacing w:line="360" w:lineRule="auto"/>
        <w:sectPr w:rsidR="00212447" w:rsidRPr="007E2651" w:rsidSect="007E2651">
          <w:footerReference w:type="default" r:id="rId12"/>
          <w:pgSz w:w="12240" w:h="15840" w:code="1"/>
          <w:pgMar w:top="1480" w:right="1077" w:bottom="278" w:left="720" w:header="720" w:footer="720" w:gutter="0"/>
          <w:cols w:space="720"/>
        </w:sectPr>
      </w:pPr>
    </w:p>
    <w:sdt>
      <w:sdtPr>
        <w:rPr>
          <w:rFonts w:ascii="Calibri" w:eastAsia="Calibri" w:hAnsi="Calibri" w:cs="Calibri"/>
          <w:color w:val="auto"/>
          <w:sz w:val="22"/>
          <w:szCs w:val="22"/>
          <w:lang w:val="es-ES" w:eastAsia="en-US"/>
        </w:rPr>
        <w:id w:val="-1684271957"/>
        <w:docPartObj>
          <w:docPartGallery w:val="Table of Contents"/>
          <w:docPartUnique/>
        </w:docPartObj>
      </w:sdtPr>
      <w:sdtEndPr>
        <w:rPr>
          <w:b/>
          <w:bCs/>
        </w:rPr>
      </w:sdtEndPr>
      <w:sdtContent>
        <w:p w14:paraId="06697CD1" w14:textId="09F9C385" w:rsidR="001C6457" w:rsidRPr="00C56643" w:rsidRDefault="001C6457">
          <w:pPr>
            <w:pStyle w:val="TtuloTDC"/>
            <w:rPr>
              <w:rFonts w:ascii="Calibri" w:hAnsi="Calibri" w:cs="Calibri"/>
              <w:b/>
              <w:bCs/>
              <w:color w:val="000000" w:themeColor="text1"/>
              <w:sz w:val="22"/>
              <w:szCs w:val="22"/>
            </w:rPr>
          </w:pPr>
          <w:r w:rsidRPr="00C56643">
            <w:rPr>
              <w:rFonts w:ascii="Calibri" w:hAnsi="Calibri" w:cs="Calibri"/>
              <w:b/>
              <w:bCs/>
              <w:color w:val="000000" w:themeColor="text1"/>
              <w:sz w:val="22"/>
              <w:szCs w:val="22"/>
              <w:lang w:val="es-ES"/>
            </w:rPr>
            <w:t>Tabla de contenido</w:t>
          </w:r>
        </w:p>
        <w:p w14:paraId="16015FFC" w14:textId="111588AA" w:rsidR="00C56643" w:rsidRDefault="001C6457">
          <w:pPr>
            <w:pStyle w:val="TDC1"/>
            <w:tabs>
              <w:tab w:val="left" w:pos="440"/>
              <w:tab w:val="right" w:leader="dot" w:pos="8828"/>
            </w:tabs>
            <w:rPr>
              <w:rFonts w:asciiTheme="minorHAnsi" w:eastAsiaTheme="minorEastAsia" w:hAnsiTheme="minorHAnsi" w:cstheme="minorBidi"/>
              <w:noProof/>
              <w:kern w:val="2"/>
              <w:sz w:val="24"/>
              <w:szCs w:val="24"/>
              <w:lang w:val="es-CL" w:eastAsia="es-CL"/>
              <w14:ligatures w14:val="standardContextual"/>
            </w:rPr>
          </w:pPr>
          <w:r w:rsidRPr="00C56643">
            <w:rPr>
              <w:color w:val="000000" w:themeColor="text1"/>
            </w:rPr>
            <w:fldChar w:fldCharType="begin"/>
          </w:r>
          <w:r w:rsidRPr="00C56643">
            <w:rPr>
              <w:color w:val="000000" w:themeColor="text1"/>
            </w:rPr>
            <w:instrText xml:space="preserve"> TOC \o "1-3" \h \z \u </w:instrText>
          </w:r>
          <w:r w:rsidRPr="00C56643">
            <w:rPr>
              <w:color w:val="000000" w:themeColor="text1"/>
            </w:rPr>
            <w:fldChar w:fldCharType="separate"/>
          </w:r>
          <w:hyperlink w:anchor="_Toc225274114" w:history="1">
            <w:r w:rsidR="00C56643" w:rsidRPr="005F5137">
              <w:rPr>
                <w:rStyle w:val="Hipervnculo"/>
                <w:noProof/>
              </w:rPr>
              <w:t>I.</w:t>
            </w:r>
            <w:r w:rsidR="00C56643">
              <w:rPr>
                <w:rFonts w:asciiTheme="minorHAnsi" w:eastAsiaTheme="minorEastAsia" w:hAnsiTheme="minorHAnsi" w:cstheme="minorBidi"/>
                <w:noProof/>
                <w:kern w:val="2"/>
                <w:sz w:val="24"/>
                <w:szCs w:val="24"/>
                <w:lang w:val="es-CL" w:eastAsia="es-CL"/>
                <w14:ligatures w14:val="standardContextual"/>
              </w:rPr>
              <w:tab/>
            </w:r>
            <w:r w:rsidR="00C56643" w:rsidRPr="00C56643">
              <w:rPr>
                <w:rStyle w:val="Hipervnculo"/>
                <w:b/>
                <w:bCs/>
                <w:noProof/>
              </w:rPr>
              <w:t>RESUMEN</w:t>
            </w:r>
            <w:r w:rsidR="00C56643">
              <w:rPr>
                <w:noProof/>
                <w:webHidden/>
              </w:rPr>
              <w:tab/>
            </w:r>
            <w:r w:rsidR="00C56643">
              <w:rPr>
                <w:noProof/>
                <w:webHidden/>
              </w:rPr>
              <w:fldChar w:fldCharType="begin"/>
            </w:r>
            <w:r w:rsidR="00C56643">
              <w:rPr>
                <w:noProof/>
                <w:webHidden/>
              </w:rPr>
              <w:instrText xml:space="preserve"> PAGEREF _Toc225274114 \h </w:instrText>
            </w:r>
            <w:r w:rsidR="00C56643">
              <w:rPr>
                <w:noProof/>
                <w:webHidden/>
              </w:rPr>
            </w:r>
            <w:r w:rsidR="00C56643">
              <w:rPr>
                <w:noProof/>
                <w:webHidden/>
              </w:rPr>
              <w:fldChar w:fldCharType="separate"/>
            </w:r>
            <w:r w:rsidR="00C56643">
              <w:rPr>
                <w:noProof/>
                <w:webHidden/>
              </w:rPr>
              <w:t>3</w:t>
            </w:r>
            <w:r w:rsidR="00C56643">
              <w:rPr>
                <w:noProof/>
                <w:webHidden/>
              </w:rPr>
              <w:fldChar w:fldCharType="end"/>
            </w:r>
          </w:hyperlink>
        </w:p>
        <w:p w14:paraId="4DCC0F87" w14:textId="69BE32CB" w:rsidR="00C56643" w:rsidRDefault="00C56643">
          <w:pPr>
            <w:pStyle w:val="TDC1"/>
            <w:tabs>
              <w:tab w:val="left" w:pos="440"/>
              <w:tab w:val="right" w:leader="dot" w:pos="8828"/>
            </w:tabs>
            <w:rPr>
              <w:rFonts w:asciiTheme="minorHAnsi" w:eastAsiaTheme="minorEastAsia" w:hAnsiTheme="minorHAnsi" w:cstheme="minorBidi"/>
              <w:noProof/>
              <w:kern w:val="2"/>
              <w:sz w:val="24"/>
              <w:szCs w:val="24"/>
              <w:lang w:val="es-CL" w:eastAsia="es-CL"/>
              <w14:ligatures w14:val="standardContextual"/>
            </w:rPr>
          </w:pPr>
          <w:hyperlink w:anchor="_Toc225274115" w:history="1">
            <w:r w:rsidRPr="005F5137">
              <w:rPr>
                <w:rStyle w:val="Hipervnculo"/>
                <w:noProof/>
                <w:lang w:val="es-CL"/>
              </w:rPr>
              <w:t>II.</w:t>
            </w:r>
            <w:r>
              <w:rPr>
                <w:rFonts w:asciiTheme="minorHAnsi" w:eastAsiaTheme="minorEastAsia" w:hAnsiTheme="minorHAnsi" w:cstheme="minorBidi"/>
                <w:noProof/>
                <w:kern w:val="2"/>
                <w:sz w:val="24"/>
                <w:szCs w:val="24"/>
                <w:lang w:val="es-CL" w:eastAsia="es-CL"/>
                <w14:ligatures w14:val="standardContextual"/>
              </w:rPr>
              <w:tab/>
            </w:r>
            <w:r w:rsidRPr="00C56643">
              <w:rPr>
                <w:rStyle w:val="Hipervnculo"/>
                <w:b/>
                <w:bCs/>
                <w:noProof/>
                <w:lang w:val="es-CL"/>
              </w:rPr>
              <w:t>DESCRIPCIÓN DE LA PRÁCTICA DE VERANO II</w:t>
            </w:r>
            <w:r>
              <w:rPr>
                <w:noProof/>
                <w:webHidden/>
              </w:rPr>
              <w:tab/>
            </w:r>
            <w:r>
              <w:rPr>
                <w:noProof/>
                <w:webHidden/>
              </w:rPr>
              <w:fldChar w:fldCharType="begin"/>
            </w:r>
            <w:r>
              <w:rPr>
                <w:noProof/>
                <w:webHidden/>
              </w:rPr>
              <w:instrText xml:space="preserve"> PAGEREF _Toc225274115 \h </w:instrText>
            </w:r>
            <w:r>
              <w:rPr>
                <w:noProof/>
                <w:webHidden/>
              </w:rPr>
            </w:r>
            <w:r>
              <w:rPr>
                <w:noProof/>
                <w:webHidden/>
              </w:rPr>
              <w:fldChar w:fldCharType="separate"/>
            </w:r>
            <w:r>
              <w:rPr>
                <w:noProof/>
                <w:webHidden/>
              </w:rPr>
              <w:t>3</w:t>
            </w:r>
            <w:r>
              <w:rPr>
                <w:noProof/>
                <w:webHidden/>
              </w:rPr>
              <w:fldChar w:fldCharType="end"/>
            </w:r>
          </w:hyperlink>
        </w:p>
        <w:p w14:paraId="287C84BD" w14:textId="2AA57920" w:rsidR="00C56643" w:rsidRPr="00C56643" w:rsidRDefault="00C56643">
          <w:pPr>
            <w:pStyle w:val="TDC2"/>
            <w:tabs>
              <w:tab w:val="left" w:pos="960"/>
              <w:tab w:val="right" w:leader="dot" w:pos="8828"/>
            </w:tabs>
            <w:rPr>
              <w:rFonts w:asciiTheme="minorHAnsi" w:eastAsiaTheme="minorEastAsia" w:hAnsiTheme="minorHAnsi" w:cstheme="minorBidi"/>
              <w:noProof/>
              <w:kern w:val="2"/>
              <w:sz w:val="24"/>
              <w:szCs w:val="24"/>
              <w:lang w:val="es-CL" w:eastAsia="es-CL"/>
              <w14:ligatures w14:val="standardContextual"/>
            </w:rPr>
          </w:pPr>
          <w:hyperlink w:anchor="_Toc225274116" w:history="1">
            <w:r w:rsidRPr="00C56643">
              <w:rPr>
                <w:rStyle w:val="Hipervnculo"/>
                <w:noProof/>
              </w:rPr>
              <w:t>1.0</w:t>
            </w:r>
            <w:r w:rsidRPr="00C56643">
              <w:rPr>
                <w:rFonts w:asciiTheme="minorHAnsi" w:eastAsiaTheme="minorEastAsia" w:hAnsiTheme="minorHAnsi" w:cstheme="minorBidi"/>
                <w:noProof/>
                <w:kern w:val="2"/>
                <w:sz w:val="24"/>
                <w:szCs w:val="24"/>
                <w:lang w:val="es-CL" w:eastAsia="es-CL"/>
                <w14:ligatures w14:val="standardContextual"/>
              </w:rPr>
              <w:tab/>
            </w:r>
            <w:r w:rsidRPr="00C56643">
              <w:rPr>
                <w:rStyle w:val="Hipervnculo"/>
                <w:noProof/>
              </w:rPr>
              <w:t>Inserción laboral</w:t>
            </w:r>
            <w:r w:rsidRPr="00C56643">
              <w:rPr>
                <w:noProof/>
                <w:webHidden/>
              </w:rPr>
              <w:tab/>
            </w:r>
            <w:r w:rsidRPr="00C56643">
              <w:rPr>
                <w:noProof/>
                <w:webHidden/>
              </w:rPr>
              <w:fldChar w:fldCharType="begin"/>
            </w:r>
            <w:r w:rsidRPr="00C56643">
              <w:rPr>
                <w:noProof/>
                <w:webHidden/>
              </w:rPr>
              <w:instrText xml:space="preserve"> PAGEREF _Toc225274116 \h </w:instrText>
            </w:r>
            <w:r w:rsidRPr="00C56643">
              <w:rPr>
                <w:noProof/>
                <w:webHidden/>
              </w:rPr>
            </w:r>
            <w:r w:rsidRPr="00C56643">
              <w:rPr>
                <w:noProof/>
                <w:webHidden/>
              </w:rPr>
              <w:fldChar w:fldCharType="separate"/>
            </w:r>
            <w:r w:rsidRPr="00C56643">
              <w:rPr>
                <w:noProof/>
                <w:webHidden/>
              </w:rPr>
              <w:t>3</w:t>
            </w:r>
            <w:r w:rsidRPr="00C56643">
              <w:rPr>
                <w:noProof/>
                <w:webHidden/>
              </w:rPr>
              <w:fldChar w:fldCharType="end"/>
            </w:r>
          </w:hyperlink>
        </w:p>
        <w:p w14:paraId="4BFD0034" w14:textId="7C8E75AA" w:rsidR="00C56643" w:rsidRPr="00C56643" w:rsidRDefault="00C56643">
          <w:pPr>
            <w:pStyle w:val="TDC3"/>
            <w:tabs>
              <w:tab w:val="right" w:leader="dot" w:pos="8828"/>
            </w:tabs>
            <w:rPr>
              <w:rFonts w:asciiTheme="minorHAnsi" w:eastAsiaTheme="minorEastAsia" w:hAnsiTheme="minorHAnsi" w:cstheme="minorBidi"/>
              <w:noProof/>
              <w:kern w:val="2"/>
              <w:sz w:val="24"/>
              <w:szCs w:val="24"/>
              <w:lang w:val="es-CL" w:eastAsia="es-CL"/>
              <w14:ligatures w14:val="standardContextual"/>
            </w:rPr>
          </w:pPr>
          <w:hyperlink w:anchor="_Toc225274117" w:history="1">
            <w:r w:rsidRPr="00C56643">
              <w:rPr>
                <w:rStyle w:val="Hipervnculo"/>
                <w:noProof/>
              </w:rPr>
              <w:t>1.1 Actividad y descripción de la empresa o institución</w:t>
            </w:r>
            <w:r w:rsidRPr="00C56643">
              <w:rPr>
                <w:noProof/>
                <w:webHidden/>
              </w:rPr>
              <w:tab/>
            </w:r>
            <w:r w:rsidRPr="00C56643">
              <w:rPr>
                <w:noProof/>
                <w:webHidden/>
              </w:rPr>
              <w:fldChar w:fldCharType="begin"/>
            </w:r>
            <w:r w:rsidRPr="00C56643">
              <w:rPr>
                <w:noProof/>
                <w:webHidden/>
              </w:rPr>
              <w:instrText xml:space="preserve"> PAGEREF _Toc225274117 \h </w:instrText>
            </w:r>
            <w:r w:rsidRPr="00C56643">
              <w:rPr>
                <w:noProof/>
                <w:webHidden/>
              </w:rPr>
            </w:r>
            <w:r w:rsidRPr="00C56643">
              <w:rPr>
                <w:noProof/>
                <w:webHidden/>
              </w:rPr>
              <w:fldChar w:fldCharType="separate"/>
            </w:r>
            <w:r w:rsidRPr="00C56643">
              <w:rPr>
                <w:noProof/>
                <w:webHidden/>
              </w:rPr>
              <w:t>3</w:t>
            </w:r>
            <w:r w:rsidRPr="00C56643">
              <w:rPr>
                <w:noProof/>
                <w:webHidden/>
              </w:rPr>
              <w:fldChar w:fldCharType="end"/>
            </w:r>
          </w:hyperlink>
        </w:p>
        <w:p w14:paraId="43FDB7E9" w14:textId="731A0D24" w:rsidR="00C56643" w:rsidRPr="00C56643" w:rsidRDefault="00C56643">
          <w:pPr>
            <w:pStyle w:val="TDC3"/>
            <w:tabs>
              <w:tab w:val="right" w:leader="dot" w:pos="8828"/>
            </w:tabs>
            <w:rPr>
              <w:rFonts w:asciiTheme="minorHAnsi" w:eastAsiaTheme="minorEastAsia" w:hAnsiTheme="minorHAnsi" w:cstheme="minorBidi"/>
              <w:noProof/>
              <w:kern w:val="2"/>
              <w:sz w:val="24"/>
              <w:szCs w:val="24"/>
              <w:lang w:val="es-CL" w:eastAsia="es-CL"/>
              <w14:ligatures w14:val="standardContextual"/>
            </w:rPr>
          </w:pPr>
          <w:hyperlink w:anchor="_Toc225274118" w:history="1">
            <w:r w:rsidRPr="00C56643">
              <w:rPr>
                <w:rStyle w:val="Hipervnculo"/>
                <w:noProof/>
              </w:rPr>
              <w:t>1.2 Equipo de trabajo</w:t>
            </w:r>
            <w:r w:rsidRPr="00C56643">
              <w:rPr>
                <w:noProof/>
                <w:webHidden/>
              </w:rPr>
              <w:tab/>
            </w:r>
            <w:r w:rsidRPr="00C56643">
              <w:rPr>
                <w:noProof/>
                <w:webHidden/>
              </w:rPr>
              <w:fldChar w:fldCharType="begin"/>
            </w:r>
            <w:r w:rsidRPr="00C56643">
              <w:rPr>
                <w:noProof/>
                <w:webHidden/>
              </w:rPr>
              <w:instrText xml:space="preserve"> PAGEREF _Toc225274118 \h </w:instrText>
            </w:r>
            <w:r w:rsidRPr="00C56643">
              <w:rPr>
                <w:noProof/>
                <w:webHidden/>
              </w:rPr>
            </w:r>
            <w:r w:rsidRPr="00C56643">
              <w:rPr>
                <w:noProof/>
                <w:webHidden/>
              </w:rPr>
              <w:fldChar w:fldCharType="separate"/>
            </w:r>
            <w:r w:rsidRPr="00C56643">
              <w:rPr>
                <w:noProof/>
                <w:webHidden/>
              </w:rPr>
              <w:t>4</w:t>
            </w:r>
            <w:r w:rsidRPr="00C56643">
              <w:rPr>
                <w:noProof/>
                <w:webHidden/>
              </w:rPr>
              <w:fldChar w:fldCharType="end"/>
            </w:r>
          </w:hyperlink>
        </w:p>
        <w:p w14:paraId="77854A7F" w14:textId="7819C400" w:rsidR="00C56643" w:rsidRPr="00C56643" w:rsidRDefault="00C56643">
          <w:pPr>
            <w:pStyle w:val="TDC3"/>
            <w:tabs>
              <w:tab w:val="right" w:leader="dot" w:pos="8828"/>
            </w:tabs>
            <w:rPr>
              <w:rFonts w:asciiTheme="minorHAnsi" w:eastAsiaTheme="minorEastAsia" w:hAnsiTheme="minorHAnsi" w:cstheme="minorBidi"/>
              <w:noProof/>
              <w:kern w:val="2"/>
              <w:sz w:val="24"/>
              <w:szCs w:val="24"/>
              <w:lang w:val="es-CL" w:eastAsia="es-CL"/>
              <w14:ligatures w14:val="standardContextual"/>
            </w:rPr>
          </w:pPr>
          <w:hyperlink w:anchor="_Toc225274119" w:history="1">
            <w:r w:rsidRPr="00C56643">
              <w:rPr>
                <w:rStyle w:val="Hipervnculo"/>
                <w:noProof/>
              </w:rPr>
              <w:t>1.3 Actividades ejecutadas</w:t>
            </w:r>
            <w:r w:rsidRPr="00C56643">
              <w:rPr>
                <w:noProof/>
                <w:webHidden/>
              </w:rPr>
              <w:tab/>
            </w:r>
            <w:r w:rsidRPr="00C56643">
              <w:rPr>
                <w:noProof/>
                <w:webHidden/>
              </w:rPr>
              <w:fldChar w:fldCharType="begin"/>
            </w:r>
            <w:r w:rsidRPr="00C56643">
              <w:rPr>
                <w:noProof/>
                <w:webHidden/>
              </w:rPr>
              <w:instrText xml:space="preserve"> PAGEREF _Toc225274119 \h </w:instrText>
            </w:r>
            <w:r w:rsidRPr="00C56643">
              <w:rPr>
                <w:noProof/>
                <w:webHidden/>
              </w:rPr>
            </w:r>
            <w:r w:rsidRPr="00C56643">
              <w:rPr>
                <w:noProof/>
                <w:webHidden/>
              </w:rPr>
              <w:fldChar w:fldCharType="separate"/>
            </w:r>
            <w:r w:rsidRPr="00C56643">
              <w:rPr>
                <w:noProof/>
                <w:webHidden/>
              </w:rPr>
              <w:t>4</w:t>
            </w:r>
            <w:r w:rsidRPr="00C56643">
              <w:rPr>
                <w:noProof/>
                <w:webHidden/>
              </w:rPr>
              <w:fldChar w:fldCharType="end"/>
            </w:r>
          </w:hyperlink>
        </w:p>
        <w:p w14:paraId="4F87D6B5" w14:textId="66B48EFD" w:rsidR="00C56643" w:rsidRPr="00C56643" w:rsidRDefault="00C56643">
          <w:pPr>
            <w:pStyle w:val="TDC2"/>
            <w:tabs>
              <w:tab w:val="left" w:pos="960"/>
              <w:tab w:val="right" w:leader="dot" w:pos="8828"/>
            </w:tabs>
            <w:rPr>
              <w:rFonts w:asciiTheme="minorHAnsi" w:eastAsiaTheme="minorEastAsia" w:hAnsiTheme="minorHAnsi" w:cstheme="minorBidi"/>
              <w:noProof/>
              <w:kern w:val="2"/>
              <w:sz w:val="24"/>
              <w:szCs w:val="24"/>
              <w:lang w:val="es-CL" w:eastAsia="es-CL"/>
              <w14:ligatures w14:val="standardContextual"/>
            </w:rPr>
          </w:pPr>
          <w:hyperlink w:anchor="_Toc225274120" w:history="1">
            <w:r w:rsidRPr="00C56643">
              <w:rPr>
                <w:rStyle w:val="Hipervnculo"/>
                <w:noProof/>
              </w:rPr>
              <w:t>2.0</w:t>
            </w:r>
            <w:r w:rsidRPr="00C56643">
              <w:rPr>
                <w:rFonts w:asciiTheme="minorHAnsi" w:eastAsiaTheme="minorEastAsia" w:hAnsiTheme="minorHAnsi" w:cstheme="minorBidi"/>
                <w:noProof/>
                <w:kern w:val="2"/>
                <w:sz w:val="24"/>
                <w:szCs w:val="24"/>
                <w:lang w:val="es-CL" w:eastAsia="es-CL"/>
                <w14:ligatures w14:val="standardContextual"/>
              </w:rPr>
              <w:tab/>
            </w:r>
            <w:r w:rsidRPr="00C56643">
              <w:rPr>
                <w:rStyle w:val="Hipervnculo"/>
                <w:noProof/>
              </w:rPr>
              <w:t>Anteproyecto de consultoría</w:t>
            </w:r>
            <w:r w:rsidRPr="00C56643">
              <w:rPr>
                <w:noProof/>
                <w:webHidden/>
              </w:rPr>
              <w:tab/>
            </w:r>
            <w:r w:rsidRPr="00C56643">
              <w:rPr>
                <w:noProof/>
                <w:webHidden/>
              </w:rPr>
              <w:fldChar w:fldCharType="begin"/>
            </w:r>
            <w:r w:rsidRPr="00C56643">
              <w:rPr>
                <w:noProof/>
                <w:webHidden/>
              </w:rPr>
              <w:instrText xml:space="preserve"> PAGEREF _Toc225274120 \h </w:instrText>
            </w:r>
            <w:r w:rsidRPr="00C56643">
              <w:rPr>
                <w:noProof/>
                <w:webHidden/>
              </w:rPr>
            </w:r>
            <w:r w:rsidRPr="00C56643">
              <w:rPr>
                <w:noProof/>
                <w:webHidden/>
              </w:rPr>
              <w:fldChar w:fldCharType="separate"/>
            </w:r>
            <w:r w:rsidRPr="00C56643">
              <w:rPr>
                <w:noProof/>
                <w:webHidden/>
              </w:rPr>
              <w:t>6</w:t>
            </w:r>
            <w:r w:rsidRPr="00C56643">
              <w:rPr>
                <w:noProof/>
                <w:webHidden/>
              </w:rPr>
              <w:fldChar w:fldCharType="end"/>
            </w:r>
          </w:hyperlink>
        </w:p>
        <w:p w14:paraId="2944BF3D" w14:textId="6B5367D2" w:rsidR="00C56643" w:rsidRPr="00C56643" w:rsidRDefault="00C56643">
          <w:pPr>
            <w:pStyle w:val="TDC3"/>
            <w:tabs>
              <w:tab w:val="left" w:pos="960"/>
              <w:tab w:val="right" w:leader="dot" w:pos="8828"/>
            </w:tabs>
            <w:rPr>
              <w:rFonts w:asciiTheme="minorHAnsi" w:eastAsiaTheme="minorEastAsia" w:hAnsiTheme="minorHAnsi" w:cstheme="minorBidi"/>
              <w:noProof/>
              <w:kern w:val="2"/>
              <w:sz w:val="24"/>
              <w:szCs w:val="24"/>
              <w:lang w:val="es-CL" w:eastAsia="es-CL"/>
              <w14:ligatures w14:val="standardContextual"/>
            </w:rPr>
          </w:pPr>
          <w:hyperlink w:anchor="_Toc225274121" w:history="1">
            <w:r w:rsidRPr="00C56643">
              <w:rPr>
                <w:rStyle w:val="Hipervnculo"/>
                <w:noProof/>
              </w:rPr>
              <w:t>2.1</w:t>
            </w:r>
            <w:r w:rsidRPr="00C56643">
              <w:rPr>
                <w:rFonts w:asciiTheme="minorHAnsi" w:eastAsiaTheme="minorEastAsia" w:hAnsiTheme="minorHAnsi" w:cstheme="minorBidi"/>
                <w:noProof/>
                <w:kern w:val="2"/>
                <w:sz w:val="24"/>
                <w:szCs w:val="24"/>
                <w:lang w:val="es-CL" w:eastAsia="es-CL"/>
                <w14:ligatures w14:val="standardContextual"/>
              </w:rPr>
              <w:tab/>
            </w:r>
            <w:r w:rsidRPr="00C56643">
              <w:rPr>
                <w:rStyle w:val="Hipervnculo"/>
                <w:noProof/>
              </w:rPr>
              <w:t>Etapa de Diagnóstico del problema.</w:t>
            </w:r>
            <w:r w:rsidRPr="00C56643">
              <w:rPr>
                <w:noProof/>
                <w:webHidden/>
              </w:rPr>
              <w:tab/>
            </w:r>
            <w:r w:rsidRPr="00C56643">
              <w:rPr>
                <w:noProof/>
                <w:webHidden/>
              </w:rPr>
              <w:fldChar w:fldCharType="begin"/>
            </w:r>
            <w:r w:rsidRPr="00C56643">
              <w:rPr>
                <w:noProof/>
                <w:webHidden/>
              </w:rPr>
              <w:instrText xml:space="preserve"> PAGEREF _Toc225274121 \h </w:instrText>
            </w:r>
            <w:r w:rsidRPr="00C56643">
              <w:rPr>
                <w:noProof/>
                <w:webHidden/>
              </w:rPr>
            </w:r>
            <w:r w:rsidRPr="00C56643">
              <w:rPr>
                <w:noProof/>
                <w:webHidden/>
              </w:rPr>
              <w:fldChar w:fldCharType="separate"/>
            </w:r>
            <w:r w:rsidRPr="00C56643">
              <w:rPr>
                <w:noProof/>
                <w:webHidden/>
              </w:rPr>
              <w:t>6</w:t>
            </w:r>
            <w:r w:rsidRPr="00C56643">
              <w:rPr>
                <w:noProof/>
                <w:webHidden/>
              </w:rPr>
              <w:fldChar w:fldCharType="end"/>
            </w:r>
          </w:hyperlink>
        </w:p>
        <w:p w14:paraId="4D6946B3" w14:textId="423FA5BC" w:rsidR="00C56643" w:rsidRPr="00C56643" w:rsidRDefault="00C56643">
          <w:pPr>
            <w:pStyle w:val="TDC3"/>
            <w:tabs>
              <w:tab w:val="right" w:leader="dot" w:pos="8828"/>
            </w:tabs>
            <w:rPr>
              <w:rFonts w:asciiTheme="minorHAnsi" w:eastAsiaTheme="minorEastAsia" w:hAnsiTheme="minorHAnsi" w:cstheme="minorBidi"/>
              <w:noProof/>
              <w:kern w:val="2"/>
              <w:sz w:val="24"/>
              <w:szCs w:val="24"/>
              <w:lang w:val="es-CL" w:eastAsia="es-CL"/>
              <w14:ligatures w14:val="standardContextual"/>
            </w:rPr>
          </w:pPr>
          <w:hyperlink w:anchor="_Toc225274122" w:history="1">
            <w:r w:rsidRPr="00C56643">
              <w:rPr>
                <w:rStyle w:val="Hipervnculo"/>
                <w:noProof/>
              </w:rPr>
              <w:t>2.2 Metodología para abordar la problemática planteada en el diagnóstico.</w:t>
            </w:r>
            <w:r w:rsidRPr="00C56643">
              <w:rPr>
                <w:noProof/>
                <w:webHidden/>
              </w:rPr>
              <w:tab/>
            </w:r>
            <w:r w:rsidRPr="00C56643">
              <w:rPr>
                <w:noProof/>
                <w:webHidden/>
              </w:rPr>
              <w:fldChar w:fldCharType="begin"/>
            </w:r>
            <w:r w:rsidRPr="00C56643">
              <w:rPr>
                <w:noProof/>
                <w:webHidden/>
              </w:rPr>
              <w:instrText xml:space="preserve"> PAGEREF _Toc225274122 \h </w:instrText>
            </w:r>
            <w:r w:rsidRPr="00C56643">
              <w:rPr>
                <w:noProof/>
                <w:webHidden/>
              </w:rPr>
            </w:r>
            <w:r w:rsidRPr="00C56643">
              <w:rPr>
                <w:noProof/>
                <w:webHidden/>
              </w:rPr>
              <w:fldChar w:fldCharType="separate"/>
            </w:r>
            <w:r w:rsidRPr="00C56643">
              <w:rPr>
                <w:noProof/>
                <w:webHidden/>
              </w:rPr>
              <w:t>7</w:t>
            </w:r>
            <w:r w:rsidRPr="00C56643">
              <w:rPr>
                <w:noProof/>
                <w:webHidden/>
              </w:rPr>
              <w:fldChar w:fldCharType="end"/>
            </w:r>
          </w:hyperlink>
        </w:p>
        <w:p w14:paraId="5ACA1C10" w14:textId="29ACE226" w:rsidR="00C56643" w:rsidRPr="00C56643" w:rsidRDefault="00C56643">
          <w:pPr>
            <w:pStyle w:val="TDC3"/>
            <w:tabs>
              <w:tab w:val="right" w:leader="dot" w:pos="8828"/>
            </w:tabs>
            <w:rPr>
              <w:rFonts w:asciiTheme="minorHAnsi" w:eastAsiaTheme="minorEastAsia" w:hAnsiTheme="minorHAnsi" w:cstheme="minorBidi"/>
              <w:noProof/>
              <w:kern w:val="2"/>
              <w:sz w:val="24"/>
              <w:szCs w:val="24"/>
              <w:lang w:val="es-CL" w:eastAsia="es-CL"/>
              <w14:ligatures w14:val="standardContextual"/>
            </w:rPr>
          </w:pPr>
          <w:hyperlink w:anchor="_Toc225274123" w:history="1">
            <w:r w:rsidRPr="00C56643">
              <w:rPr>
                <w:rStyle w:val="Hipervnculo"/>
                <w:noProof/>
              </w:rPr>
              <w:t>2.3 Conclusiones del Anteproyecto y Recomendaciones</w:t>
            </w:r>
            <w:r w:rsidRPr="00C56643">
              <w:rPr>
                <w:noProof/>
                <w:webHidden/>
              </w:rPr>
              <w:tab/>
            </w:r>
            <w:r w:rsidRPr="00C56643">
              <w:rPr>
                <w:noProof/>
                <w:webHidden/>
              </w:rPr>
              <w:fldChar w:fldCharType="begin"/>
            </w:r>
            <w:r w:rsidRPr="00C56643">
              <w:rPr>
                <w:noProof/>
                <w:webHidden/>
              </w:rPr>
              <w:instrText xml:space="preserve"> PAGEREF _Toc225274123 \h </w:instrText>
            </w:r>
            <w:r w:rsidRPr="00C56643">
              <w:rPr>
                <w:noProof/>
                <w:webHidden/>
              </w:rPr>
            </w:r>
            <w:r w:rsidRPr="00C56643">
              <w:rPr>
                <w:noProof/>
                <w:webHidden/>
              </w:rPr>
              <w:fldChar w:fldCharType="separate"/>
            </w:r>
            <w:r w:rsidRPr="00C56643">
              <w:rPr>
                <w:noProof/>
                <w:webHidden/>
              </w:rPr>
              <w:t>9</w:t>
            </w:r>
            <w:r w:rsidRPr="00C56643">
              <w:rPr>
                <w:noProof/>
                <w:webHidden/>
              </w:rPr>
              <w:fldChar w:fldCharType="end"/>
            </w:r>
          </w:hyperlink>
        </w:p>
        <w:p w14:paraId="16A38641" w14:textId="2A804399" w:rsidR="00C56643" w:rsidRPr="00C56643" w:rsidRDefault="00C56643">
          <w:pPr>
            <w:pStyle w:val="TDC2"/>
            <w:tabs>
              <w:tab w:val="left" w:pos="960"/>
              <w:tab w:val="right" w:leader="dot" w:pos="8828"/>
            </w:tabs>
            <w:rPr>
              <w:rFonts w:asciiTheme="minorHAnsi" w:eastAsiaTheme="minorEastAsia" w:hAnsiTheme="minorHAnsi" w:cstheme="minorBidi"/>
              <w:noProof/>
              <w:kern w:val="2"/>
              <w:sz w:val="24"/>
              <w:szCs w:val="24"/>
              <w:lang w:val="es-CL" w:eastAsia="es-CL"/>
              <w14:ligatures w14:val="standardContextual"/>
            </w:rPr>
          </w:pPr>
          <w:hyperlink w:anchor="_Toc225274124" w:history="1">
            <w:r w:rsidRPr="00C56643">
              <w:rPr>
                <w:rStyle w:val="Hipervnculo"/>
                <w:noProof/>
              </w:rPr>
              <w:t>3.0</w:t>
            </w:r>
            <w:r w:rsidRPr="00C56643">
              <w:rPr>
                <w:rFonts w:asciiTheme="minorHAnsi" w:eastAsiaTheme="minorEastAsia" w:hAnsiTheme="minorHAnsi" w:cstheme="minorBidi"/>
                <w:noProof/>
                <w:kern w:val="2"/>
                <w:sz w:val="24"/>
                <w:szCs w:val="24"/>
                <w:lang w:val="es-CL" w:eastAsia="es-CL"/>
                <w14:ligatures w14:val="standardContextual"/>
              </w:rPr>
              <w:tab/>
            </w:r>
            <w:r w:rsidRPr="00C56643">
              <w:rPr>
                <w:rStyle w:val="Hipervnculo"/>
                <w:noProof/>
              </w:rPr>
              <w:t>Reflexión final</w:t>
            </w:r>
            <w:r w:rsidRPr="00C56643">
              <w:rPr>
                <w:noProof/>
                <w:webHidden/>
              </w:rPr>
              <w:tab/>
            </w:r>
            <w:r w:rsidRPr="00C56643">
              <w:rPr>
                <w:noProof/>
                <w:webHidden/>
              </w:rPr>
              <w:fldChar w:fldCharType="begin"/>
            </w:r>
            <w:r w:rsidRPr="00C56643">
              <w:rPr>
                <w:noProof/>
                <w:webHidden/>
              </w:rPr>
              <w:instrText xml:space="preserve"> PAGEREF _Toc225274124 \h </w:instrText>
            </w:r>
            <w:r w:rsidRPr="00C56643">
              <w:rPr>
                <w:noProof/>
                <w:webHidden/>
              </w:rPr>
            </w:r>
            <w:r w:rsidRPr="00C56643">
              <w:rPr>
                <w:noProof/>
                <w:webHidden/>
              </w:rPr>
              <w:fldChar w:fldCharType="separate"/>
            </w:r>
            <w:r w:rsidRPr="00C56643">
              <w:rPr>
                <w:noProof/>
                <w:webHidden/>
              </w:rPr>
              <w:t>9</w:t>
            </w:r>
            <w:r w:rsidRPr="00C56643">
              <w:rPr>
                <w:noProof/>
                <w:webHidden/>
              </w:rPr>
              <w:fldChar w:fldCharType="end"/>
            </w:r>
          </w:hyperlink>
        </w:p>
        <w:p w14:paraId="1A62296F" w14:textId="529B74DF" w:rsidR="00C56643" w:rsidRDefault="00C56643">
          <w:pPr>
            <w:pStyle w:val="TDC1"/>
            <w:tabs>
              <w:tab w:val="left" w:pos="720"/>
              <w:tab w:val="right" w:leader="dot" w:pos="8828"/>
            </w:tabs>
            <w:rPr>
              <w:rFonts w:asciiTheme="minorHAnsi" w:eastAsiaTheme="minorEastAsia" w:hAnsiTheme="minorHAnsi" w:cstheme="minorBidi"/>
              <w:noProof/>
              <w:kern w:val="2"/>
              <w:sz w:val="24"/>
              <w:szCs w:val="24"/>
              <w:lang w:val="es-CL" w:eastAsia="es-CL"/>
              <w14:ligatures w14:val="standardContextual"/>
            </w:rPr>
          </w:pPr>
          <w:hyperlink w:anchor="_Toc225274125" w:history="1">
            <w:r w:rsidRPr="005F5137">
              <w:rPr>
                <w:rStyle w:val="Hipervnculo"/>
                <w:noProof/>
                <w:lang w:val="es-CL"/>
              </w:rPr>
              <w:t>III.</w:t>
            </w:r>
            <w:r>
              <w:rPr>
                <w:rFonts w:asciiTheme="minorHAnsi" w:eastAsiaTheme="minorEastAsia" w:hAnsiTheme="minorHAnsi" w:cstheme="minorBidi"/>
                <w:noProof/>
                <w:kern w:val="2"/>
                <w:sz w:val="24"/>
                <w:szCs w:val="24"/>
                <w:lang w:val="es-CL" w:eastAsia="es-CL"/>
                <w14:ligatures w14:val="standardContextual"/>
              </w:rPr>
              <w:tab/>
            </w:r>
            <w:r w:rsidRPr="00C56643">
              <w:rPr>
                <w:rStyle w:val="Hipervnculo"/>
                <w:b/>
                <w:bCs/>
                <w:noProof/>
                <w:lang w:val="es-CL"/>
              </w:rPr>
              <w:t>Bibliografía</w:t>
            </w:r>
            <w:r>
              <w:rPr>
                <w:noProof/>
                <w:webHidden/>
              </w:rPr>
              <w:tab/>
            </w:r>
            <w:r>
              <w:rPr>
                <w:noProof/>
                <w:webHidden/>
              </w:rPr>
              <w:fldChar w:fldCharType="begin"/>
            </w:r>
            <w:r>
              <w:rPr>
                <w:noProof/>
                <w:webHidden/>
              </w:rPr>
              <w:instrText xml:space="preserve"> PAGEREF _Toc225274125 \h </w:instrText>
            </w:r>
            <w:r>
              <w:rPr>
                <w:noProof/>
                <w:webHidden/>
              </w:rPr>
            </w:r>
            <w:r>
              <w:rPr>
                <w:noProof/>
                <w:webHidden/>
              </w:rPr>
              <w:fldChar w:fldCharType="separate"/>
            </w:r>
            <w:r>
              <w:rPr>
                <w:noProof/>
                <w:webHidden/>
              </w:rPr>
              <w:t>10</w:t>
            </w:r>
            <w:r>
              <w:rPr>
                <w:noProof/>
                <w:webHidden/>
              </w:rPr>
              <w:fldChar w:fldCharType="end"/>
            </w:r>
          </w:hyperlink>
        </w:p>
        <w:p w14:paraId="17E606B1" w14:textId="42DC352E" w:rsidR="001C6457" w:rsidRDefault="001C6457">
          <w:r w:rsidRPr="00C56643">
            <w:rPr>
              <w:b/>
              <w:bCs/>
              <w:color w:val="000000" w:themeColor="text1"/>
            </w:rPr>
            <w:fldChar w:fldCharType="end"/>
          </w:r>
        </w:p>
      </w:sdtContent>
    </w:sdt>
    <w:p w14:paraId="569E6F30" w14:textId="6FF02C7D" w:rsidR="001C6457" w:rsidRDefault="001C6457" w:rsidP="007E2651">
      <w:pPr>
        <w:pStyle w:val="Textoindependiente"/>
        <w:spacing w:line="360" w:lineRule="auto"/>
      </w:pPr>
    </w:p>
    <w:p w14:paraId="171C5B35" w14:textId="2F03C741" w:rsidR="00212447" w:rsidRPr="007E2651" w:rsidRDefault="001C6457" w:rsidP="001C6457">
      <w:r>
        <w:br w:type="page"/>
      </w:r>
    </w:p>
    <w:p w14:paraId="613AFCD1" w14:textId="241B5858" w:rsidR="007E2651" w:rsidRPr="007E2651" w:rsidRDefault="00C56643" w:rsidP="007E2651">
      <w:pPr>
        <w:pStyle w:val="Ttulo1"/>
        <w:numPr>
          <w:ilvl w:val="0"/>
          <w:numId w:val="11"/>
        </w:numPr>
        <w:spacing w:line="360" w:lineRule="auto"/>
      </w:pPr>
      <w:bookmarkStart w:id="0" w:name="_Toc225274114"/>
      <w:r w:rsidRPr="007E2651">
        <w:lastRenderedPageBreak/>
        <w:t>RESUMEN</w:t>
      </w:r>
      <w:bookmarkEnd w:id="0"/>
    </w:p>
    <w:p w14:paraId="38C4D1CB" w14:textId="23292944" w:rsidR="004674EE" w:rsidRPr="004674EE" w:rsidRDefault="004674EE" w:rsidP="004674EE">
      <w:pPr>
        <w:tabs>
          <w:tab w:val="left" w:leader="dot" w:pos="9147"/>
        </w:tabs>
        <w:spacing w:line="360" w:lineRule="auto"/>
        <w:ind w:left="701"/>
        <w:jc w:val="both"/>
        <w:rPr>
          <w:lang w:val="es-CL"/>
        </w:rPr>
      </w:pPr>
      <w:r w:rsidRPr="004674EE">
        <w:rPr>
          <w:lang w:val="es-CL"/>
        </w:rPr>
        <w:t xml:space="preserve">La práctica profesional se desarrolló en la Fundación Alerce 3000, organización dedicada a la conservación y restauración ecológica de bosques nativos en la Región de Los Lagos. El trabajo se enfocó en el análisis de oportunidades para compatibilizar la restauración ecológica con sistemas productivos, específicamente en predios ganaderos del valle de </w:t>
      </w:r>
      <w:proofErr w:type="spellStart"/>
      <w:r w:rsidRPr="004674EE">
        <w:rPr>
          <w:lang w:val="es-CL"/>
        </w:rPr>
        <w:t>Vodudahue</w:t>
      </w:r>
      <w:proofErr w:type="spellEnd"/>
      <w:r w:rsidRPr="004674EE">
        <w:rPr>
          <w:lang w:val="es-CL"/>
        </w:rPr>
        <w:t>.</w:t>
      </w:r>
    </w:p>
    <w:p w14:paraId="33A6F06B" w14:textId="5FD9BA5E" w:rsidR="004674EE" w:rsidRPr="004674EE" w:rsidRDefault="004674EE" w:rsidP="004674EE">
      <w:pPr>
        <w:tabs>
          <w:tab w:val="left" w:leader="dot" w:pos="9147"/>
        </w:tabs>
        <w:spacing w:line="360" w:lineRule="auto"/>
        <w:ind w:left="701"/>
        <w:jc w:val="both"/>
        <w:rPr>
          <w:lang w:val="es-CL"/>
        </w:rPr>
      </w:pPr>
      <w:r w:rsidRPr="004674EE">
        <w:rPr>
          <w:lang w:val="es-CL"/>
        </w:rPr>
        <w:t>Durante la práctica, se participó en un equipo multidisciplinario vinculado a la planificación territorial, restauración ecológica y trabajo con comunidades rurales. Se realizaron actividades de levantamiento de información territorial, análisis de cobertura vegetal, diagnóstico de degradación de ecosistemas y evaluación de prácticas productivas.</w:t>
      </w:r>
    </w:p>
    <w:p w14:paraId="1A49AF3E" w14:textId="6808ADAC" w:rsidR="004674EE" w:rsidRPr="004674EE" w:rsidRDefault="004674EE" w:rsidP="004674EE">
      <w:pPr>
        <w:tabs>
          <w:tab w:val="left" w:leader="dot" w:pos="9147"/>
        </w:tabs>
        <w:spacing w:line="360" w:lineRule="auto"/>
        <w:ind w:left="701"/>
        <w:jc w:val="both"/>
        <w:rPr>
          <w:lang w:val="es-CL"/>
        </w:rPr>
      </w:pPr>
      <w:r w:rsidRPr="004674EE">
        <w:rPr>
          <w:lang w:val="es-CL"/>
        </w:rPr>
        <w:t>El principal problema identificado fue la coexistencia de actividades ganaderas con procesos de degradación del bosque nativo, evidenciada en la pérdida de cobertura vegetal, compactación de suelos y disminución de la regeneración natural. A partir de este diagnóstico, se desarrolló un anteproyecto de consultoría orientado al diseño de una propuesta preliminar de restauración ecológica compatible con la producción ganadera.</w:t>
      </w:r>
    </w:p>
    <w:p w14:paraId="51B73411" w14:textId="3EB529C8" w:rsidR="004674EE" w:rsidRPr="004674EE" w:rsidRDefault="004674EE" w:rsidP="004674EE">
      <w:pPr>
        <w:tabs>
          <w:tab w:val="left" w:leader="dot" w:pos="9147"/>
        </w:tabs>
        <w:spacing w:line="360" w:lineRule="auto"/>
        <w:ind w:left="701"/>
        <w:jc w:val="both"/>
        <w:rPr>
          <w:lang w:val="es-CL"/>
        </w:rPr>
      </w:pPr>
      <w:r w:rsidRPr="004674EE">
        <w:rPr>
          <w:lang w:val="es-CL"/>
        </w:rPr>
        <w:t>La metodología incluyó análisis cualitativo y territorial, revisión bibliográfica y evaluación de estrategias de manejo sostenible. Como resultado, se propusieron medidas como la zonificación del predio, la exclusión parcial de áreas sensibles, el manejo adaptativo del pastoreo y la restauración asistida.</w:t>
      </w:r>
    </w:p>
    <w:p w14:paraId="7A27A2AD" w14:textId="7C5550E8" w:rsidR="00555430" w:rsidRDefault="004674EE" w:rsidP="004674EE">
      <w:pPr>
        <w:tabs>
          <w:tab w:val="left" w:leader="dot" w:pos="9147"/>
        </w:tabs>
        <w:spacing w:line="360" w:lineRule="auto"/>
        <w:ind w:left="701"/>
        <w:jc w:val="both"/>
        <w:rPr>
          <w:lang w:val="es-CL"/>
        </w:rPr>
      </w:pPr>
      <w:r w:rsidRPr="004674EE">
        <w:rPr>
          <w:lang w:val="es-CL"/>
        </w:rPr>
        <w:t>La práctica permitió integrar conocimientos académicos con una problemática real, aportando una visión aplicada sobre la gestión sustentable de sistemas agroecológicos.</w:t>
      </w:r>
    </w:p>
    <w:p w14:paraId="693F3F14" w14:textId="77777777" w:rsidR="004674EE" w:rsidRPr="007E2651" w:rsidRDefault="004674EE" w:rsidP="004674EE">
      <w:pPr>
        <w:tabs>
          <w:tab w:val="left" w:leader="dot" w:pos="9147"/>
        </w:tabs>
        <w:spacing w:line="360" w:lineRule="auto"/>
        <w:ind w:left="701"/>
        <w:jc w:val="both"/>
        <w:rPr>
          <w:lang w:val="es-CL"/>
        </w:rPr>
      </w:pPr>
    </w:p>
    <w:p w14:paraId="56D465A5" w14:textId="0D9A9C90" w:rsidR="00555430" w:rsidRPr="00555430" w:rsidRDefault="00555430" w:rsidP="00555430">
      <w:pPr>
        <w:pStyle w:val="Ttulo1"/>
        <w:numPr>
          <w:ilvl w:val="0"/>
          <w:numId w:val="11"/>
        </w:numPr>
        <w:spacing w:line="360" w:lineRule="auto"/>
        <w:jc w:val="both"/>
        <w:rPr>
          <w:lang w:val="es-CL"/>
        </w:rPr>
      </w:pPr>
      <w:bookmarkStart w:id="1" w:name="_Toc225274115"/>
      <w:r>
        <w:rPr>
          <w:lang w:val="es-CL"/>
        </w:rPr>
        <w:t>DESCRIPCIÓN DE LA PRÁCTICA DE VERANO II</w:t>
      </w:r>
      <w:bookmarkEnd w:id="1"/>
    </w:p>
    <w:p w14:paraId="56A511F9" w14:textId="60461CE3" w:rsidR="00555430" w:rsidRPr="00555430" w:rsidRDefault="00555430" w:rsidP="00555430">
      <w:pPr>
        <w:pStyle w:val="Ttulo2"/>
      </w:pPr>
      <w:bookmarkStart w:id="2" w:name="_Toc225274116"/>
      <w:r w:rsidRPr="00555430">
        <w:t>Inserción laboral</w:t>
      </w:r>
      <w:bookmarkEnd w:id="2"/>
    </w:p>
    <w:p w14:paraId="0613297D" w14:textId="7E4D760E" w:rsidR="00555430" w:rsidRPr="001C6457" w:rsidRDefault="00555430" w:rsidP="001C6457">
      <w:pPr>
        <w:pStyle w:val="Ttulo3"/>
        <w:ind w:left="360"/>
      </w:pPr>
      <w:bookmarkStart w:id="3" w:name="_Toc225274117"/>
      <w:r w:rsidRPr="001C6457">
        <w:t>1.1 Actividad y descripción de la empresa o institución</w:t>
      </w:r>
      <w:bookmarkEnd w:id="3"/>
    </w:p>
    <w:p w14:paraId="580A91EE" w14:textId="4170B1E2" w:rsidR="008F41A3" w:rsidRPr="008F41A3" w:rsidRDefault="008F41A3" w:rsidP="008F41A3">
      <w:pPr>
        <w:spacing w:line="360" w:lineRule="auto"/>
        <w:jc w:val="both"/>
        <w:rPr>
          <w:color w:val="000000" w:themeColor="text1"/>
          <w:lang w:val="es-CL"/>
        </w:rPr>
      </w:pPr>
      <w:r w:rsidRPr="008F41A3">
        <w:rPr>
          <w:color w:val="000000" w:themeColor="text1"/>
          <w:lang w:val="es-CL"/>
        </w:rPr>
        <w:t xml:space="preserve">La práctica profesional se desarrolló en la Fundación Alerce 3000, organización orientada a la conservación, restauración ecológica y manejo sustentable de los bosques templados lluviosos del sur de Chile. Su labor se concentra principalmente en la Reserva </w:t>
      </w:r>
      <w:proofErr w:type="spellStart"/>
      <w:r w:rsidRPr="008F41A3">
        <w:rPr>
          <w:color w:val="000000" w:themeColor="text1"/>
          <w:lang w:val="es-CL"/>
        </w:rPr>
        <w:t>Vodudahue</w:t>
      </w:r>
      <w:proofErr w:type="spellEnd"/>
      <w:r w:rsidRPr="008F41A3">
        <w:rPr>
          <w:color w:val="000000" w:themeColor="text1"/>
          <w:lang w:val="es-CL"/>
        </w:rPr>
        <w:t>, ubicada en la Patagonia norte, donde se realizan actividades de producción de plantas nativas, restauración ecológica, educación ambiental y vinculación con el territorio.</w:t>
      </w:r>
    </w:p>
    <w:p w14:paraId="4E440AA4" w14:textId="4449C796" w:rsidR="008F41A3" w:rsidRPr="008F41A3" w:rsidRDefault="008F41A3" w:rsidP="008F41A3">
      <w:pPr>
        <w:spacing w:line="360" w:lineRule="auto"/>
        <w:jc w:val="both"/>
        <w:rPr>
          <w:color w:val="000000" w:themeColor="text1"/>
          <w:lang w:val="es-CL"/>
        </w:rPr>
      </w:pPr>
      <w:r w:rsidRPr="008F41A3">
        <w:rPr>
          <w:color w:val="000000" w:themeColor="text1"/>
          <w:lang w:val="es-CL"/>
        </w:rPr>
        <w:t xml:space="preserve">Uno de los ejes principales de la fundación es la producción y </w:t>
      </w:r>
      <w:proofErr w:type="spellStart"/>
      <w:r w:rsidRPr="008F41A3">
        <w:rPr>
          <w:color w:val="000000" w:themeColor="text1"/>
          <w:lang w:val="es-CL"/>
        </w:rPr>
        <w:t>viverización</w:t>
      </w:r>
      <w:proofErr w:type="spellEnd"/>
      <w:r w:rsidRPr="008F41A3">
        <w:rPr>
          <w:color w:val="000000" w:themeColor="text1"/>
          <w:lang w:val="es-CL"/>
        </w:rPr>
        <w:t xml:space="preserve"> de especies nativas, destacando el alerce (</w:t>
      </w:r>
      <w:proofErr w:type="spellStart"/>
      <w:r w:rsidRPr="008F41A3">
        <w:rPr>
          <w:i/>
          <w:iCs/>
          <w:color w:val="000000" w:themeColor="text1"/>
          <w:lang w:val="es-CL"/>
        </w:rPr>
        <w:t>Fitzroya</w:t>
      </w:r>
      <w:proofErr w:type="spellEnd"/>
      <w:r w:rsidRPr="008F41A3">
        <w:rPr>
          <w:i/>
          <w:iCs/>
          <w:color w:val="000000" w:themeColor="text1"/>
          <w:lang w:val="es-CL"/>
        </w:rPr>
        <w:t xml:space="preserve"> </w:t>
      </w:r>
      <w:proofErr w:type="spellStart"/>
      <w:r w:rsidRPr="008F41A3">
        <w:rPr>
          <w:i/>
          <w:iCs/>
          <w:color w:val="000000" w:themeColor="text1"/>
          <w:lang w:val="es-CL"/>
        </w:rPr>
        <w:t>cupressoides</w:t>
      </w:r>
      <w:proofErr w:type="spellEnd"/>
      <w:r w:rsidRPr="008F41A3">
        <w:rPr>
          <w:color w:val="000000" w:themeColor="text1"/>
          <w:lang w:val="es-CL"/>
        </w:rPr>
        <w:t xml:space="preserve">), especie de alto valor ecológico. A través del vivero, se </w:t>
      </w:r>
      <w:r w:rsidRPr="008F41A3">
        <w:rPr>
          <w:color w:val="000000" w:themeColor="text1"/>
          <w:lang w:val="es-CL"/>
        </w:rPr>
        <w:lastRenderedPageBreak/>
        <w:t>generan plantas destinadas a proyectos de restauración y silvicultura sustentable, bajo enfoques de manejo adaptativo y prácticas respetuosas con el entorno.</w:t>
      </w:r>
    </w:p>
    <w:p w14:paraId="2B130926" w14:textId="5D7A8C99" w:rsidR="008F41A3" w:rsidRPr="008F41A3" w:rsidRDefault="008F41A3" w:rsidP="008F41A3">
      <w:pPr>
        <w:spacing w:line="360" w:lineRule="auto"/>
        <w:jc w:val="both"/>
        <w:rPr>
          <w:color w:val="000000" w:themeColor="text1"/>
          <w:lang w:val="es-CL"/>
        </w:rPr>
      </w:pPr>
      <w:r w:rsidRPr="008F41A3">
        <w:rPr>
          <w:color w:val="000000" w:themeColor="text1"/>
          <w:lang w:val="es-CL"/>
        </w:rPr>
        <w:t>De manera complementaria, la organización se articula con BOPAR Conservación, que ejecuta proyectos silviculturales en la Región de Los Ríos, promoviendo el establecimiento de especies nativas y el manejo de especies exóticas con fines productivos múltiples. Este enfoque busca mejorar la calidad del bosque, diversificar sus usos y asegurar la provisión de servicios ecosistémicos.</w:t>
      </w:r>
    </w:p>
    <w:p w14:paraId="5896B4AA" w14:textId="1452B72C" w:rsidR="00555430" w:rsidRDefault="008F41A3" w:rsidP="008F41A3">
      <w:pPr>
        <w:spacing w:line="360" w:lineRule="auto"/>
        <w:jc w:val="both"/>
        <w:rPr>
          <w:color w:val="000000" w:themeColor="text1"/>
          <w:lang w:val="es-CL"/>
        </w:rPr>
      </w:pPr>
      <w:r w:rsidRPr="008F41A3">
        <w:rPr>
          <w:color w:val="000000" w:themeColor="text1"/>
          <w:lang w:val="es-CL"/>
        </w:rPr>
        <w:t>Durante la práctica, se participó en procesos de análisis territorial y planificación de restauración ecológica, incluyendo la evaluación de predios y la identificación de oportunidades para compatibilizar la conservación del bosque nativo con actividades productivas locales, especialmente la ganadería.</w:t>
      </w:r>
    </w:p>
    <w:p w14:paraId="3A81BDFC" w14:textId="72D7BA36" w:rsidR="008F41A3" w:rsidRDefault="008F41A3" w:rsidP="001C6457">
      <w:pPr>
        <w:pStyle w:val="Ttulo3"/>
        <w:ind w:left="720"/>
      </w:pPr>
      <w:bookmarkStart w:id="4" w:name="_Toc225274118"/>
      <w:r w:rsidRPr="001C6457">
        <w:t>1.2 Equipo de trabajo</w:t>
      </w:r>
      <w:bookmarkEnd w:id="4"/>
    </w:p>
    <w:p w14:paraId="46149464" w14:textId="77777777" w:rsidR="00960858" w:rsidRPr="00960858" w:rsidRDefault="00960858" w:rsidP="00960858"/>
    <w:p w14:paraId="0C3BA7FE" w14:textId="3A5F5445" w:rsidR="00B74E7C" w:rsidRDefault="00960858" w:rsidP="00960858">
      <w:pPr>
        <w:jc w:val="center"/>
        <w:rPr>
          <w:lang w:val="es-CL"/>
        </w:rPr>
      </w:pPr>
      <w:r>
        <w:rPr>
          <w:noProof/>
          <w:lang w:val="es-CL"/>
        </w:rPr>
        <w:drawing>
          <wp:inline distT="0" distB="0" distL="0" distR="0" wp14:anchorId="1DDAD3AB" wp14:editId="61373817">
            <wp:extent cx="3766305" cy="2808322"/>
            <wp:effectExtent l="0" t="0" r="0" b="0"/>
            <wp:docPr id="31011164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111643" name="Imagen 31011164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89588" cy="2825683"/>
                    </a:xfrm>
                    <a:prstGeom prst="rect">
                      <a:avLst/>
                    </a:prstGeom>
                  </pic:spPr>
                </pic:pic>
              </a:graphicData>
            </a:graphic>
          </wp:inline>
        </w:drawing>
      </w:r>
    </w:p>
    <w:p w14:paraId="72157D29" w14:textId="18FECD64" w:rsidR="00902751" w:rsidRDefault="00902751" w:rsidP="00902751">
      <w:pPr>
        <w:jc w:val="center"/>
        <w:rPr>
          <w:lang w:val="es-CL"/>
        </w:rPr>
      </w:pPr>
      <w:r w:rsidRPr="00902751">
        <w:rPr>
          <w:lang w:val="es-CL"/>
        </w:rPr>
        <w:t>Figura 1. Organigrama del equipo de trabajo de la Fundación Alerce 3000.</w:t>
      </w:r>
      <w:r w:rsidRPr="00902751">
        <w:rPr>
          <w:lang w:val="es-CL"/>
        </w:rPr>
        <w:br/>
      </w:r>
      <w:r w:rsidRPr="00902751">
        <w:rPr>
          <w:i/>
          <w:iCs/>
          <w:lang w:val="es-CL"/>
        </w:rPr>
        <w:t>Fuente: Elaboración propia.</w:t>
      </w:r>
    </w:p>
    <w:p w14:paraId="4522A464" w14:textId="77777777" w:rsidR="00902751" w:rsidRDefault="00902751" w:rsidP="00902751">
      <w:pPr>
        <w:jc w:val="center"/>
        <w:rPr>
          <w:lang w:val="es-CL"/>
        </w:rPr>
      </w:pPr>
    </w:p>
    <w:p w14:paraId="35A5F42F" w14:textId="77777777" w:rsidR="00D72671" w:rsidRPr="00D72671" w:rsidRDefault="00D72671" w:rsidP="00D72671">
      <w:pPr>
        <w:spacing w:line="360" w:lineRule="auto"/>
        <w:jc w:val="both"/>
        <w:rPr>
          <w:lang w:val="es-CL"/>
        </w:rPr>
      </w:pPr>
      <w:r w:rsidRPr="00D72671">
        <w:rPr>
          <w:lang w:val="es-CL"/>
        </w:rPr>
        <w:t>El equipo de trabajo estuvo conformado por profesionales y practicantes vinculados principalmente a las áreas de producción y trabajo en terreno, bajo una estructura con supervisión técnica centralizada. La jefatura directa de la práctica estuvo a cargo de Valentina Rojas, Ingeniera Forestal y Coordinadora del Centro de Conservación y Educación de la Fundación Alerce 3000, quien lideró la planificación y validación técnica de las actividades.</w:t>
      </w:r>
    </w:p>
    <w:p w14:paraId="3A958013" w14:textId="77777777" w:rsidR="00D72671" w:rsidRPr="00D72671" w:rsidRDefault="00D72671" w:rsidP="00D72671">
      <w:pPr>
        <w:spacing w:line="360" w:lineRule="auto"/>
        <w:jc w:val="both"/>
        <w:rPr>
          <w:lang w:val="es-CL"/>
        </w:rPr>
      </w:pPr>
      <w:r w:rsidRPr="00D72671">
        <w:rPr>
          <w:lang w:val="es-CL"/>
        </w:rPr>
        <w:t xml:space="preserve">En el área de producción, Evelyn Rehbein, </w:t>
      </w:r>
      <w:proofErr w:type="spellStart"/>
      <w:r w:rsidRPr="00D72671">
        <w:rPr>
          <w:lang w:val="es-CL"/>
        </w:rPr>
        <w:t>viverista</w:t>
      </w:r>
      <w:proofErr w:type="spellEnd"/>
      <w:r w:rsidRPr="00D72671">
        <w:rPr>
          <w:lang w:val="es-CL"/>
        </w:rPr>
        <w:t xml:space="preserve">, fue responsable de la gestión del vivero y la producción de plantas nativas. En el área operativa, se trabajó de manera colaborativa con los </w:t>
      </w:r>
      <w:r w:rsidRPr="00D72671">
        <w:rPr>
          <w:lang w:val="es-CL"/>
        </w:rPr>
        <w:lastRenderedPageBreak/>
        <w:t>practicantes de Ingeniería Forestal Jesús Maturana y Francisco Pérez, participando en actividades de terreno y monitoreo.</w:t>
      </w:r>
    </w:p>
    <w:p w14:paraId="145F19F1" w14:textId="77777777" w:rsidR="00D72671" w:rsidRPr="00D72671" w:rsidRDefault="00D72671" w:rsidP="00D72671">
      <w:pPr>
        <w:spacing w:line="360" w:lineRule="auto"/>
        <w:jc w:val="both"/>
        <w:rPr>
          <w:lang w:val="es-CL"/>
        </w:rPr>
      </w:pPr>
      <w:r w:rsidRPr="00D72671">
        <w:rPr>
          <w:lang w:val="es-CL"/>
        </w:rPr>
        <w:t>El funcionamiento del equipo se caracterizó por una dinámica horizontal, con comunicación directa y coordinación constante entre sus integrantes. En este contexto, el rol desempeñado se centró en el análisis territorial, diagnóstico del predio y formulación de la propuesta, interactuando de manera permanente con el equipo en terreno y vivero.</w:t>
      </w:r>
    </w:p>
    <w:p w14:paraId="1F72FF81" w14:textId="77777777" w:rsidR="00D72671" w:rsidRPr="00D72671" w:rsidRDefault="00D72671" w:rsidP="00D72671">
      <w:pPr>
        <w:spacing w:line="360" w:lineRule="auto"/>
        <w:jc w:val="both"/>
        <w:rPr>
          <w:lang w:val="es-CL"/>
        </w:rPr>
      </w:pPr>
      <w:r w:rsidRPr="00D72671">
        <w:rPr>
          <w:lang w:val="es-CL"/>
        </w:rPr>
        <w:t>Adicionalmente, se contó con instancias puntuales de apoyo externo, mediante reuniones de orientación técnica y social con profesionales especializados, sin formar parte de la estructura operativa del equipo</w:t>
      </w:r>
    </w:p>
    <w:p w14:paraId="25822A74" w14:textId="77777777" w:rsidR="005A6A30" w:rsidRPr="00D330F1" w:rsidRDefault="005A6A30" w:rsidP="00B74E7C">
      <w:pPr>
        <w:spacing w:line="360" w:lineRule="auto"/>
        <w:jc w:val="both"/>
        <w:rPr>
          <w:lang w:val="es-CL"/>
        </w:rPr>
      </w:pPr>
    </w:p>
    <w:p w14:paraId="48A7F266" w14:textId="0CCF0898" w:rsidR="008F41A3" w:rsidRPr="001C6457" w:rsidRDefault="008F41A3" w:rsidP="001C6457">
      <w:pPr>
        <w:pStyle w:val="Ttulo3"/>
        <w:ind w:left="720"/>
      </w:pPr>
      <w:bookmarkStart w:id="5" w:name="_Toc225274119"/>
      <w:r w:rsidRPr="001C6457">
        <w:t>1.3 Actividades ejecutadas</w:t>
      </w:r>
      <w:bookmarkEnd w:id="5"/>
    </w:p>
    <w:p w14:paraId="5EAC85E7" w14:textId="224F3FE5" w:rsidR="008F41A3" w:rsidRPr="008F41A3" w:rsidRDefault="008F41A3" w:rsidP="008F41A3">
      <w:pPr>
        <w:spacing w:line="360" w:lineRule="auto"/>
        <w:jc w:val="both"/>
        <w:rPr>
          <w:color w:val="000000" w:themeColor="text1"/>
          <w:lang w:val="es-CL"/>
        </w:rPr>
      </w:pPr>
      <w:r w:rsidRPr="008F41A3">
        <w:rPr>
          <w:color w:val="000000" w:themeColor="text1"/>
          <w:lang w:val="es-CL"/>
        </w:rPr>
        <w:t>a. Elaboración de propuesta de restauración ecológica:</w:t>
      </w:r>
      <w:r>
        <w:rPr>
          <w:color w:val="000000" w:themeColor="text1"/>
          <w:lang w:val="es-CL"/>
        </w:rPr>
        <w:t xml:space="preserve"> </w:t>
      </w:r>
      <w:r w:rsidRPr="008F41A3">
        <w:rPr>
          <w:color w:val="000000" w:themeColor="text1"/>
          <w:lang w:val="es-CL"/>
        </w:rPr>
        <w:t>Una de las principales actividades desarrolladas fue el diseño de una propuesta de restauración ecológica orientada a compatibilizar la recuperación del bosque nativo con la actividad ganadera presente en el predio analizado. Este trabajo incluyó el levantamiento de información territorial, la identificación de áreas prioritarias de intervención y la evaluación de condiciones de sitio. A partir de ello, se definieron estrategias de restauración basadas en criterios ecológicos y productivos, tales como zonificación del predio, exclusión de áreas sensibles y manejo adaptativo del uso del suelo. Esta actividad permitió aportar una base técnica para la toma de decisiones futuras dentro del programa de restauración de la fundación. Uno de los principales desafíos fue integrar variables ecológicas y productivas en una propuesta coherente y aplicable al contexto real del territorio.</w:t>
      </w:r>
    </w:p>
    <w:p w14:paraId="1B99CEAE" w14:textId="77777777" w:rsidR="008F41A3" w:rsidRPr="008F41A3" w:rsidRDefault="008F41A3" w:rsidP="008F41A3">
      <w:pPr>
        <w:spacing w:line="360" w:lineRule="auto"/>
        <w:jc w:val="both"/>
        <w:rPr>
          <w:color w:val="000000" w:themeColor="text1"/>
          <w:lang w:val="es-CL"/>
        </w:rPr>
      </w:pPr>
    </w:p>
    <w:p w14:paraId="2543148F" w14:textId="6A9F44FF" w:rsidR="008F41A3" w:rsidRPr="008F41A3" w:rsidRDefault="008F41A3" w:rsidP="008F41A3">
      <w:pPr>
        <w:spacing w:line="360" w:lineRule="auto"/>
        <w:jc w:val="both"/>
        <w:rPr>
          <w:color w:val="000000" w:themeColor="text1"/>
          <w:lang w:val="es-CL"/>
        </w:rPr>
      </w:pPr>
      <w:r w:rsidRPr="008F41A3">
        <w:rPr>
          <w:color w:val="000000" w:themeColor="text1"/>
          <w:lang w:val="es-CL"/>
        </w:rPr>
        <w:t>b. Trabajo en vivero forestal:</w:t>
      </w:r>
      <w:r>
        <w:rPr>
          <w:color w:val="000000" w:themeColor="text1"/>
          <w:lang w:val="es-CL"/>
        </w:rPr>
        <w:t xml:space="preserve"> </w:t>
      </w:r>
      <w:r w:rsidRPr="008F41A3">
        <w:rPr>
          <w:color w:val="000000" w:themeColor="text1"/>
          <w:lang w:val="es-CL"/>
        </w:rPr>
        <w:t xml:space="preserve">Se participó activamente en las labores operativas del vivero, incluyendo la colecta de semillas, el inventario de especies correspondiente al año 2026, la evaluación del estado fitosanitario de las plantas, el desmalezado manual y la aplicación de fertilizantes (Exel Max y </w:t>
      </w:r>
      <w:proofErr w:type="spellStart"/>
      <w:r w:rsidRPr="008F41A3">
        <w:rPr>
          <w:color w:val="000000" w:themeColor="text1"/>
          <w:lang w:val="es-CL"/>
        </w:rPr>
        <w:t>Basfoliar</w:t>
      </w:r>
      <w:proofErr w:type="spellEnd"/>
      <w:r w:rsidRPr="008F41A3">
        <w:rPr>
          <w:color w:val="000000" w:themeColor="text1"/>
          <w:lang w:val="es-CL"/>
        </w:rPr>
        <w:t>). Estas actividades permitieron comprender el proceso completo de producción de plantas nativas, desde su origen hasta su uso en proyectos de restauración. El principal aporte de esta experiencia fue vincular la producción vegetal con la planificación de la restauración ecológica. Como dificultad, se enfrentaron condiciones variables del clima y exigencias propias del trabajo en terreno, lo que requirió adaptación constante a las dinámicas del vivero.</w:t>
      </w:r>
    </w:p>
    <w:p w14:paraId="19787769" w14:textId="77777777" w:rsidR="008F41A3" w:rsidRPr="008F41A3" w:rsidRDefault="008F41A3" w:rsidP="008F41A3">
      <w:pPr>
        <w:spacing w:line="360" w:lineRule="auto"/>
        <w:jc w:val="both"/>
        <w:rPr>
          <w:color w:val="000000" w:themeColor="text1"/>
          <w:lang w:val="es-CL"/>
        </w:rPr>
      </w:pPr>
    </w:p>
    <w:p w14:paraId="6793EE37" w14:textId="1A93FF40" w:rsidR="008F41A3" w:rsidRPr="008F41A3" w:rsidRDefault="008F41A3" w:rsidP="008F41A3">
      <w:pPr>
        <w:spacing w:line="360" w:lineRule="auto"/>
        <w:jc w:val="both"/>
        <w:rPr>
          <w:color w:val="000000" w:themeColor="text1"/>
          <w:lang w:val="es-CL"/>
        </w:rPr>
      </w:pPr>
      <w:r w:rsidRPr="008F41A3">
        <w:rPr>
          <w:color w:val="000000" w:themeColor="text1"/>
          <w:lang w:val="es-CL"/>
        </w:rPr>
        <w:t>c. Apoyo en monitoreo de plantaciones:</w:t>
      </w:r>
      <w:r>
        <w:rPr>
          <w:color w:val="000000" w:themeColor="text1"/>
          <w:lang w:val="es-CL"/>
        </w:rPr>
        <w:t xml:space="preserve"> </w:t>
      </w:r>
      <w:r w:rsidRPr="008F41A3">
        <w:rPr>
          <w:color w:val="000000" w:themeColor="text1"/>
          <w:lang w:val="es-CL"/>
        </w:rPr>
        <w:t xml:space="preserve">Se participó en el muestreo de parcelas previamente </w:t>
      </w:r>
      <w:r w:rsidRPr="008F41A3">
        <w:rPr>
          <w:color w:val="000000" w:themeColor="text1"/>
          <w:lang w:val="es-CL"/>
        </w:rPr>
        <w:lastRenderedPageBreak/>
        <w:t xml:space="preserve">plantadas dentro de la Reserva </w:t>
      </w:r>
      <w:proofErr w:type="spellStart"/>
      <w:r w:rsidRPr="008F41A3">
        <w:rPr>
          <w:color w:val="000000" w:themeColor="text1"/>
          <w:lang w:val="es-CL"/>
        </w:rPr>
        <w:t>Vodudahue</w:t>
      </w:r>
      <w:proofErr w:type="spellEnd"/>
      <w:r w:rsidRPr="008F41A3">
        <w:rPr>
          <w:color w:val="000000" w:themeColor="text1"/>
          <w:lang w:val="es-CL"/>
        </w:rPr>
        <w:t>, en apoyo a la práctica profesional de Francisco Pérez. El trabajo consistió en evaluar variables como diámetro a la altura del cuello (DAC), tipo de especie, altura de las plantas y estado fitosanitario, utilizando parcelas de 10 x 10 metros. Esta actividad tuvo como objetivo analizar el crecimiento y desarrollo de las plantaciones establecidas por la fundación tras un año de su implementación. Los resultados obtenidos permitieron generar información relevante para evaluar el éxito de las intervenciones y orientar futuras acciones de restauración. Uno de los principales desafíos fue la precisión en la toma de datos en terreno y la estandarización de los criterios de evaluación.</w:t>
      </w:r>
    </w:p>
    <w:p w14:paraId="31268F65" w14:textId="77777777" w:rsidR="008F41A3" w:rsidRPr="008F41A3" w:rsidRDefault="008F41A3" w:rsidP="008F41A3">
      <w:pPr>
        <w:spacing w:line="360" w:lineRule="auto"/>
        <w:jc w:val="both"/>
        <w:rPr>
          <w:color w:val="000000" w:themeColor="text1"/>
          <w:lang w:val="es-CL"/>
        </w:rPr>
      </w:pPr>
    </w:p>
    <w:p w14:paraId="53F8E1F3" w14:textId="27F8191A" w:rsidR="008F41A3" w:rsidRDefault="008F41A3" w:rsidP="008F41A3">
      <w:pPr>
        <w:spacing w:line="360" w:lineRule="auto"/>
        <w:jc w:val="both"/>
        <w:rPr>
          <w:color w:val="000000" w:themeColor="text1"/>
          <w:lang w:val="es-CL"/>
        </w:rPr>
      </w:pPr>
      <w:r w:rsidRPr="008F41A3">
        <w:rPr>
          <w:color w:val="000000" w:themeColor="text1"/>
          <w:lang w:val="es-CL"/>
        </w:rPr>
        <w:t>d. Cartografía y delimitación del vivero:</w:t>
      </w:r>
      <w:r>
        <w:rPr>
          <w:color w:val="000000" w:themeColor="text1"/>
          <w:lang w:val="es-CL"/>
        </w:rPr>
        <w:t xml:space="preserve"> </w:t>
      </w:r>
      <w:r w:rsidRPr="008F41A3">
        <w:rPr>
          <w:color w:val="000000" w:themeColor="text1"/>
          <w:lang w:val="es-CL"/>
        </w:rPr>
        <w:t>Se elaboró la cartografía del vivero con el objetivo de mejorar su organización y gestión operativa. Esta actividad incluyó la delimitación de los espacios, la enumeración de las platabandas y la definición de sectores (1 al 6), además de la identificación de infraestructuras clave como la oficina, bodega de herramientas y zona de seguridad. La cartografía generada permitió contar con una herramienta visual para optimizar la planificación de actividades dentro del vivero. El principal aporte fue la sistematización del espacio físico, facilitando su uso y gestión. Como desafío, se requirió organizar información dispersa y traducirla en una representación clara y funcional.</w:t>
      </w:r>
    </w:p>
    <w:p w14:paraId="44ADD1A6" w14:textId="1E5594E6" w:rsidR="008F41A3" w:rsidRPr="00C56643" w:rsidRDefault="008F41A3" w:rsidP="008F41A3">
      <w:pPr>
        <w:pStyle w:val="Ttulo2"/>
      </w:pPr>
      <w:r w:rsidRPr="00C56643">
        <w:t xml:space="preserve"> </w:t>
      </w:r>
      <w:bookmarkStart w:id="6" w:name="_Toc225274120"/>
      <w:r w:rsidR="00C56643" w:rsidRPr="00C56643">
        <w:t>Anteproyecto de consultoría</w:t>
      </w:r>
      <w:bookmarkEnd w:id="6"/>
    </w:p>
    <w:p w14:paraId="69329E9E" w14:textId="55FBF70D" w:rsidR="00C56643" w:rsidRDefault="008F41A3" w:rsidP="00C56643">
      <w:pPr>
        <w:pStyle w:val="Ttulo3"/>
        <w:ind w:left="360"/>
      </w:pPr>
      <w:bookmarkStart w:id="7" w:name="_Toc225274121"/>
      <w:r w:rsidRPr="008F41A3">
        <w:t>2.1</w:t>
      </w:r>
      <w:r w:rsidRPr="008F41A3">
        <w:tab/>
        <w:t>Etapa de Diagnóstico del problema.</w:t>
      </w:r>
      <w:bookmarkEnd w:id="7"/>
    </w:p>
    <w:p w14:paraId="76530A71" w14:textId="77777777" w:rsidR="00C56643" w:rsidRPr="00C56643" w:rsidRDefault="00C56643" w:rsidP="00C56643"/>
    <w:p w14:paraId="045DBC25" w14:textId="543DFD7E" w:rsidR="00710AD1" w:rsidRPr="00710AD1" w:rsidRDefault="00710AD1" w:rsidP="00710AD1">
      <w:pPr>
        <w:spacing w:line="360" w:lineRule="auto"/>
        <w:jc w:val="both"/>
        <w:rPr>
          <w:color w:val="000000" w:themeColor="text1"/>
          <w:lang w:val="es-CL"/>
        </w:rPr>
      </w:pPr>
      <w:r w:rsidRPr="00710AD1">
        <w:rPr>
          <w:color w:val="000000" w:themeColor="text1"/>
          <w:lang w:val="es-CL"/>
        </w:rPr>
        <w:t xml:space="preserve">El diagnóstico realizado en el predio ganadero del valle de </w:t>
      </w:r>
      <w:proofErr w:type="spellStart"/>
      <w:r w:rsidRPr="00710AD1">
        <w:rPr>
          <w:color w:val="000000" w:themeColor="text1"/>
          <w:lang w:val="es-CL"/>
        </w:rPr>
        <w:t>Vodudahue</w:t>
      </w:r>
      <w:proofErr w:type="spellEnd"/>
      <w:r w:rsidRPr="00710AD1">
        <w:rPr>
          <w:color w:val="000000" w:themeColor="text1"/>
          <w:lang w:val="es-CL"/>
        </w:rPr>
        <w:t xml:space="preserve"> evidenció una problemática central asociada a la incompatibilidad entre la actividad ganadera y la conservación del bosque nativo, lo que se traduce en procesos de degradación ecológica y limitaciones para la regeneración natural. Para la elaboración del diagnóstico se realizó observación directa en terreno, entrevista al propietario del predio y revisión del inventario 2026 del vivero de la Fundación Alerce 3000, cuyos datos fueron sistematizados mediante herramientas de análisis en Excel.</w:t>
      </w:r>
    </w:p>
    <w:p w14:paraId="1B077A96" w14:textId="77777777" w:rsidR="00710AD1" w:rsidRPr="00710AD1" w:rsidRDefault="00710AD1" w:rsidP="00710AD1">
      <w:pPr>
        <w:spacing w:line="360" w:lineRule="auto"/>
        <w:jc w:val="both"/>
        <w:rPr>
          <w:color w:val="000000" w:themeColor="text1"/>
          <w:lang w:val="es-CL"/>
        </w:rPr>
      </w:pPr>
    </w:p>
    <w:p w14:paraId="08F692BD" w14:textId="77777777" w:rsidR="00710AD1" w:rsidRPr="00710AD1" w:rsidRDefault="00710AD1" w:rsidP="00710AD1">
      <w:pPr>
        <w:spacing w:line="360" w:lineRule="auto"/>
        <w:jc w:val="both"/>
        <w:rPr>
          <w:color w:val="000000" w:themeColor="text1"/>
          <w:lang w:val="es-CL"/>
        </w:rPr>
      </w:pPr>
      <w:r w:rsidRPr="00710AD1">
        <w:rPr>
          <w:color w:val="000000" w:themeColor="text1"/>
          <w:lang w:val="es-CL"/>
        </w:rPr>
        <w:t xml:space="preserve">A partir del levantamiento de información, se identificó que el sistema productivo corresponde a un manejo ganadero extensivo con pastoreo rotativo, donde el ganado utiliza principalmente praderas, pero también accede a sectores de bosque nativo, afectando su estructura y dinámica regenerativa. Desde el punto de vista cualitativo, se evidenció que la toma de decisiones productivas está fuertemente condicionada por criterios económicos, existiendo baja disposición a implementar acciones de restauración si estas no generan beneficios productivos directos. Esta situación refleja </w:t>
      </w:r>
      <w:r w:rsidRPr="00710AD1">
        <w:rPr>
          <w:color w:val="000000" w:themeColor="text1"/>
          <w:lang w:val="es-CL"/>
        </w:rPr>
        <w:lastRenderedPageBreak/>
        <w:t>una tensión estructural entre conservación y producción, ampliamente descrita en sistemas rurales del sur de Chile (Zamorano-Elgueta et al., 2012).</w:t>
      </w:r>
    </w:p>
    <w:p w14:paraId="7668005C" w14:textId="77777777" w:rsidR="00710AD1" w:rsidRPr="00710AD1" w:rsidRDefault="00710AD1" w:rsidP="00710AD1">
      <w:pPr>
        <w:spacing w:line="360" w:lineRule="auto"/>
        <w:jc w:val="both"/>
        <w:rPr>
          <w:color w:val="000000" w:themeColor="text1"/>
          <w:lang w:val="es-CL"/>
        </w:rPr>
      </w:pPr>
    </w:p>
    <w:p w14:paraId="0EE2CB9D" w14:textId="48AE8551" w:rsidR="00710AD1" w:rsidRPr="00710AD1" w:rsidRDefault="00710AD1" w:rsidP="00710AD1">
      <w:pPr>
        <w:spacing w:line="360" w:lineRule="auto"/>
        <w:jc w:val="both"/>
        <w:rPr>
          <w:color w:val="000000" w:themeColor="text1"/>
          <w:lang w:val="es-CL"/>
        </w:rPr>
      </w:pPr>
      <w:r w:rsidRPr="00710AD1">
        <w:rPr>
          <w:color w:val="000000" w:themeColor="text1"/>
          <w:lang w:val="es-CL"/>
        </w:rPr>
        <w:t xml:space="preserve">En términos cuantitativos, el análisis del inventario del vivero (Figura 1) permitió caracterizar la disponibilidad de plantas nativas para restauración durante el año 2026. Los resultados evidencian una alta concentración de individuos en </w:t>
      </w:r>
      <w:proofErr w:type="spellStart"/>
      <w:r w:rsidRPr="00710AD1">
        <w:rPr>
          <w:i/>
          <w:iCs/>
          <w:color w:val="000000" w:themeColor="text1"/>
          <w:lang w:val="es-CL"/>
        </w:rPr>
        <w:t>Fitzroya</w:t>
      </w:r>
      <w:proofErr w:type="spellEnd"/>
      <w:r w:rsidRPr="00710AD1">
        <w:rPr>
          <w:i/>
          <w:iCs/>
          <w:color w:val="000000" w:themeColor="text1"/>
          <w:lang w:val="es-CL"/>
        </w:rPr>
        <w:t xml:space="preserve"> </w:t>
      </w:r>
      <w:proofErr w:type="spellStart"/>
      <w:r w:rsidRPr="00710AD1">
        <w:rPr>
          <w:i/>
          <w:iCs/>
          <w:color w:val="000000" w:themeColor="text1"/>
          <w:lang w:val="es-CL"/>
        </w:rPr>
        <w:t>cupressoides</w:t>
      </w:r>
      <w:proofErr w:type="spellEnd"/>
      <w:r>
        <w:rPr>
          <w:color w:val="000000" w:themeColor="text1"/>
          <w:lang w:val="es-CL"/>
        </w:rPr>
        <w:t xml:space="preserve">, </w:t>
      </w:r>
      <w:r w:rsidRPr="00710AD1">
        <w:rPr>
          <w:color w:val="000000" w:themeColor="text1"/>
          <w:lang w:val="es-CL"/>
        </w:rPr>
        <w:t>con una representación significativamente superior al resto de las especies, mientras que otras especies nativas relevantes presentan menor disponibilidad relativa. Esta distribución desigual indica una oferta de material vegetal poco diversa, lo que podría limitar la implementación de estrategias de restauración ecológica más complejas y funcionales.</w:t>
      </w:r>
    </w:p>
    <w:p w14:paraId="2DA9FD69" w14:textId="77777777" w:rsidR="00710AD1" w:rsidRPr="00710AD1" w:rsidRDefault="00710AD1" w:rsidP="00710AD1">
      <w:pPr>
        <w:spacing w:line="360" w:lineRule="auto"/>
        <w:jc w:val="both"/>
        <w:rPr>
          <w:color w:val="000000" w:themeColor="text1"/>
          <w:lang w:val="es-CL"/>
        </w:rPr>
      </w:pPr>
    </w:p>
    <w:p w14:paraId="6D6B6189" w14:textId="77777777" w:rsidR="00710AD1" w:rsidRPr="00710AD1" w:rsidRDefault="00710AD1" w:rsidP="00710AD1">
      <w:pPr>
        <w:spacing w:line="360" w:lineRule="auto"/>
        <w:jc w:val="both"/>
        <w:rPr>
          <w:color w:val="000000" w:themeColor="text1"/>
          <w:lang w:val="es-CL"/>
        </w:rPr>
      </w:pPr>
      <w:r w:rsidRPr="00710AD1">
        <w:rPr>
          <w:color w:val="000000" w:themeColor="text1"/>
          <w:lang w:val="es-CL"/>
        </w:rPr>
        <w:t>Asimismo, la literatura señala que la restauración efectiva del bosque nativo requiere diversidad de especies y estructuras vegetales, evitando enfoques monoespecíficos que pueden comprometer la resiliencia del ecosistema (Sotomayor et al., 2009; González et al., 2020). En este contexto, el diagnóstico evidencia que la problemática no radica únicamente en la presión ganadera sobre el bosque nativo, sino también en la falta de integración entre los componentes productivos y ecológicos, así como en limitaciones en la planificación y disponibilidad de recursos para la restauración.</w:t>
      </w:r>
    </w:p>
    <w:p w14:paraId="4B89AE0B" w14:textId="77777777" w:rsidR="00710AD1" w:rsidRPr="00710AD1" w:rsidRDefault="00710AD1" w:rsidP="00710AD1">
      <w:pPr>
        <w:spacing w:line="360" w:lineRule="auto"/>
        <w:jc w:val="both"/>
        <w:rPr>
          <w:color w:val="000000" w:themeColor="text1"/>
          <w:lang w:val="es-CL"/>
        </w:rPr>
      </w:pPr>
    </w:p>
    <w:p w14:paraId="44B92E46" w14:textId="77777777" w:rsidR="00710AD1" w:rsidRDefault="00710AD1" w:rsidP="00710AD1">
      <w:pPr>
        <w:spacing w:line="360" w:lineRule="auto"/>
        <w:jc w:val="both"/>
        <w:rPr>
          <w:color w:val="000000" w:themeColor="text1"/>
          <w:lang w:val="es-CL"/>
        </w:rPr>
      </w:pPr>
      <w:r w:rsidRPr="00710AD1">
        <w:rPr>
          <w:color w:val="000000" w:themeColor="text1"/>
          <w:lang w:val="es-CL"/>
        </w:rPr>
        <w:t>En conjunto, los antecedentes permiten concluir que existe una brecha entre el estado actual del sistema productivo y las condiciones necesarias para una restauración ecológica efectiva, lo que justifica la necesidad de desarrollar propuestas que compatibilicen ambas dimensiones de manera sostenible.</w:t>
      </w:r>
    </w:p>
    <w:p w14:paraId="0AB89109" w14:textId="740A284E" w:rsidR="00710AD1" w:rsidRDefault="00710AD1" w:rsidP="00710AD1">
      <w:pPr>
        <w:spacing w:line="360" w:lineRule="auto"/>
        <w:jc w:val="both"/>
        <w:rPr>
          <w:color w:val="000000" w:themeColor="text1"/>
          <w:lang w:val="es-CL"/>
        </w:rPr>
      </w:pPr>
      <w:r w:rsidRPr="00710AD1">
        <w:rPr>
          <w:color w:val="000000" w:themeColor="text1"/>
          <w:lang w:val="es-CL"/>
        </w:rPr>
        <w:t>Figura 1. Disponibilidad de plantas nativas por especie en el vivero de la Fundación Alerce 3000 (2026).</w:t>
      </w:r>
    </w:p>
    <w:p w14:paraId="0E33824B" w14:textId="056614E1" w:rsidR="00710AD1" w:rsidRDefault="0036240B" w:rsidP="00710AD1">
      <w:pPr>
        <w:spacing w:line="360" w:lineRule="auto"/>
        <w:jc w:val="center"/>
        <w:rPr>
          <w:color w:val="000000" w:themeColor="text1"/>
          <w:lang w:val="es-CL"/>
        </w:rPr>
      </w:pPr>
      <w:r>
        <w:rPr>
          <w:noProof/>
        </w:rPr>
        <w:lastRenderedPageBreak/>
        <w:drawing>
          <wp:inline distT="0" distB="0" distL="0" distR="0" wp14:anchorId="383BBA28" wp14:editId="2018DF11">
            <wp:extent cx="5612130" cy="3673475"/>
            <wp:effectExtent l="0" t="0" r="7620" b="3175"/>
            <wp:docPr id="22072078" name="Gráfico 1">
              <a:extLst xmlns:a="http://schemas.openxmlformats.org/drawingml/2006/main">
                <a:ext uri="{FF2B5EF4-FFF2-40B4-BE49-F238E27FC236}">
                  <a16:creationId xmlns:a16="http://schemas.microsoft.com/office/drawing/2014/main" id="{85973FB1-5722-17F4-3432-945222BEE0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955CD92" w14:textId="49259946" w:rsidR="008F41A3" w:rsidRPr="00C56643" w:rsidRDefault="00710AD1" w:rsidP="00C56643">
      <w:pPr>
        <w:spacing w:line="360" w:lineRule="auto"/>
        <w:jc w:val="center"/>
        <w:rPr>
          <w:color w:val="000000" w:themeColor="text1"/>
          <w:lang w:val="es-CL"/>
        </w:rPr>
      </w:pPr>
      <w:r w:rsidRPr="00710AD1">
        <w:rPr>
          <w:color w:val="000000" w:themeColor="text1"/>
          <w:lang w:val="es-CL"/>
        </w:rPr>
        <w:t>Fuente: Elaboración propia en base a inventario de vivero (2026).</w:t>
      </w:r>
    </w:p>
    <w:p w14:paraId="6645580B" w14:textId="78F86336" w:rsidR="00C56643" w:rsidRPr="00C56643" w:rsidRDefault="00C56643" w:rsidP="00C56643">
      <w:pPr>
        <w:pStyle w:val="Ttulo3"/>
      </w:pPr>
      <w:r>
        <w:t xml:space="preserve">     </w:t>
      </w:r>
      <w:bookmarkStart w:id="8" w:name="_Toc225274122"/>
      <w:r>
        <w:t xml:space="preserve">2.2 </w:t>
      </w:r>
      <w:r w:rsidR="008F41A3" w:rsidRPr="00C56643">
        <w:t>Metodología para abordar la problemática planteada en el diagnóstico.</w:t>
      </w:r>
      <w:bookmarkEnd w:id="8"/>
      <w:r w:rsidR="008F41A3" w:rsidRPr="00C56643">
        <w:t xml:space="preserve"> </w:t>
      </w:r>
    </w:p>
    <w:p w14:paraId="4E62A6F9" w14:textId="77777777" w:rsidR="00C56643" w:rsidRPr="00C56643" w:rsidRDefault="00C56643" w:rsidP="00C56643">
      <w:pPr>
        <w:ind w:left="720"/>
      </w:pPr>
    </w:p>
    <w:p w14:paraId="48A41BBF" w14:textId="0235D552" w:rsidR="001C6457" w:rsidRPr="001C6457" w:rsidRDefault="001C6457" w:rsidP="001C6457">
      <w:pPr>
        <w:spacing w:line="360" w:lineRule="auto"/>
        <w:jc w:val="both"/>
        <w:rPr>
          <w:color w:val="000000" w:themeColor="text1"/>
          <w:lang w:val="es-CL"/>
        </w:rPr>
      </w:pPr>
      <w:r w:rsidRPr="001C6457">
        <w:rPr>
          <w:color w:val="000000" w:themeColor="text1"/>
          <w:lang w:val="es-CL"/>
        </w:rPr>
        <w:t>La metodología propuesta se basa en un enfoque de restauración ecológica integrada con sistemas silvopastoriles, como respuesta a la degradación del bosque nativo asociada a la actividad ganadera. Este enfoque permite compatibilizar la producción con la conservación mediante prácticas sostenibles, promoviendo la recuperación de funciones ecológicas sin excluir completamente el uso productivo del territorio (FAO, 2017).</w:t>
      </w:r>
    </w:p>
    <w:p w14:paraId="284FB20F" w14:textId="77A543A1" w:rsidR="001C6457" w:rsidRDefault="001C6457" w:rsidP="001C6457">
      <w:pPr>
        <w:spacing w:line="360" w:lineRule="auto"/>
        <w:jc w:val="both"/>
        <w:rPr>
          <w:color w:val="000000" w:themeColor="text1"/>
          <w:lang w:val="es-CL"/>
        </w:rPr>
      </w:pPr>
      <w:r w:rsidRPr="001C6457">
        <w:rPr>
          <w:color w:val="000000" w:themeColor="text1"/>
          <w:lang w:val="es-CL"/>
        </w:rPr>
        <w:t>En primer lugar, se realizará un diagnóstico ecológico del predio, considerando variables como características del suelo, condiciones climáticas, exposición solar, pendiente y estado de la vegetación, lo que permite definir las limitantes y potencialidades del sistema. Posteriormente, se llevará a cabo una zonificación del predio, identificando áreas de conservación, restauración y uso productivo, en función de la capacidad de carga del ecosistema (CONAF, 2020).</w:t>
      </w:r>
    </w:p>
    <w:p w14:paraId="12B4A7BA" w14:textId="1A207C7D" w:rsidR="001C6457" w:rsidRDefault="001C6457" w:rsidP="001C6457">
      <w:pPr>
        <w:spacing w:line="360" w:lineRule="auto"/>
        <w:jc w:val="both"/>
        <w:rPr>
          <w:color w:val="000000" w:themeColor="text1"/>
          <w:lang w:val="es-CL"/>
        </w:rPr>
      </w:pPr>
      <w:r w:rsidRPr="001C6457">
        <w:rPr>
          <w:color w:val="000000" w:themeColor="text1"/>
          <w:lang w:val="es-CL"/>
        </w:rPr>
        <w:t>En la etapa de planificación, se diseñará un sistema silvopastoril que incorpore especies nativas adaptadas a las condiciones del sitio, junto con la implementación de cercos de exclusión y arreglos espaciales que favorezcan la regeneración natural. Este tipo de sistemas contribuye a mejorar la biodiversidad, aumentar la cobertura vegetal y reducir la degradación del suelo (FAO, 2017).</w:t>
      </w:r>
    </w:p>
    <w:p w14:paraId="2A840430" w14:textId="6B548AC5" w:rsidR="001C6457" w:rsidRDefault="001C6457" w:rsidP="001C6457">
      <w:pPr>
        <w:spacing w:line="360" w:lineRule="auto"/>
        <w:jc w:val="both"/>
        <w:rPr>
          <w:color w:val="000000" w:themeColor="text1"/>
          <w:lang w:val="es-CL"/>
        </w:rPr>
      </w:pPr>
      <w:r w:rsidRPr="001C6457">
        <w:rPr>
          <w:color w:val="000000" w:themeColor="text1"/>
          <w:lang w:val="es-CL"/>
        </w:rPr>
        <w:t xml:space="preserve">Asimismo, se definirá la carga ganadera óptima, ajustando la presión sobre el ecosistema para evitar </w:t>
      </w:r>
      <w:r w:rsidRPr="001C6457">
        <w:rPr>
          <w:color w:val="000000" w:themeColor="text1"/>
          <w:lang w:val="es-CL"/>
        </w:rPr>
        <w:lastRenderedPageBreak/>
        <w:t>el sobrepastoreo, reconocido como uno de los principales factores de degradación en sistemas forestales del sur de Chile (Gómez et al., 2019). Se complementará con prácticas como rotación de potreros y exclusión temporal de áreas en restauración.</w:t>
      </w:r>
    </w:p>
    <w:p w14:paraId="4A0B325A" w14:textId="172624C4" w:rsidR="001C6457" w:rsidRDefault="001C6457" w:rsidP="001C6457">
      <w:pPr>
        <w:spacing w:line="360" w:lineRule="auto"/>
        <w:jc w:val="both"/>
        <w:rPr>
          <w:color w:val="000000" w:themeColor="text1"/>
          <w:lang w:val="es-CL"/>
        </w:rPr>
      </w:pPr>
      <w:r w:rsidRPr="001C6457">
        <w:rPr>
          <w:color w:val="000000" w:themeColor="text1"/>
          <w:lang w:val="es-CL"/>
        </w:rPr>
        <w:t>La metodología incorpora un componente de monitoreo mediante indicadores ecológicos, como sobrevivencia de plantas, cobertura vegetal y condición del suelo, permitiendo la aplicación de un enfoque de manejo adaptativo (Altieri &amp; Nicholls, 2017).</w:t>
      </w:r>
    </w:p>
    <w:p w14:paraId="4F375205" w14:textId="2D5D2508" w:rsidR="001C6457" w:rsidRDefault="001C6457" w:rsidP="001C6457">
      <w:pPr>
        <w:spacing w:line="360" w:lineRule="auto"/>
        <w:jc w:val="both"/>
        <w:rPr>
          <w:color w:val="000000" w:themeColor="text1"/>
          <w:lang w:val="es-CL"/>
        </w:rPr>
      </w:pPr>
      <w:r w:rsidRPr="001C6457">
        <w:rPr>
          <w:color w:val="000000" w:themeColor="text1"/>
          <w:lang w:val="es-CL"/>
        </w:rPr>
        <w:t>Finalmente, se considera la incorporación de incentivos económicos asociados a servicios ecosistémicos, como la captura de carbono, con el fin de fomentar la adopción de prácticas sostenibles en el largo plazo.</w:t>
      </w:r>
    </w:p>
    <w:p w14:paraId="2FFF8500" w14:textId="7101055A" w:rsidR="008E7F09" w:rsidRDefault="001C6457" w:rsidP="001C6457">
      <w:pPr>
        <w:spacing w:line="360" w:lineRule="auto"/>
        <w:jc w:val="both"/>
        <w:rPr>
          <w:color w:val="000000" w:themeColor="text1"/>
          <w:lang w:val="es-CL"/>
        </w:rPr>
      </w:pPr>
      <w:r w:rsidRPr="001C6457">
        <w:rPr>
          <w:color w:val="000000" w:themeColor="text1"/>
          <w:lang w:val="es-CL"/>
        </w:rPr>
        <w:t>Esta metodología se alinea directamente con el diagnóstico, abordando tanto la presión ganadera como la necesidad de restauración ecológica mediante soluciones integradas y territorialmente pertinentes.</w:t>
      </w:r>
    </w:p>
    <w:tbl>
      <w:tblPr>
        <w:tblStyle w:val="Tablaconcuadrcula"/>
        <w:tblW w:w="0" w:type="auto"/>
        <w:tblLook w:val="04A0" w:firstRow="1" w:lastRow="0" w:firstColumn="1" w:lastColumn="0" w:noHBand="0" w:noVBand="1"/>
      </w:tblPr>
      <w:tblGrid>
        <w:gridCol w:w="1988"/>
        <w:gridCol w:w="2689"/>
        <w:gridCol w:w="516"/>
        <w:gridCol w:w="585"/>
        <w:gridCol w:w="497"/>
        <w:gridCol w:w="439"/>
        <w:gridCol w:w="540"/>
        <w:gridCol w:w="519"/>
        <w:gridCol w:w="505"/>
        <w:gridCol w:w="550"/>
      </w:tblGrid>
      <w:tr w:rsidR="001C6457" w:rsidRPr="001C6457" w14:paraId="1D0A3A1F" w14:textId="77777777" w:rsidTr="001C6457">
        <w:tc>
          <w:tcPr>
            <w:tcW w:w="0" w:type="auto"/>
            <w:hideMark/>
          </w:tcPr>
          <w:p w14:paraId="1D3EA4D6" w14:textId="77777777" w:rsidR="001C6457" w:rsidRPr="001C6457" w:rsidRDefault="001C6457" w:rsidP="001C6457">
            <w:pPr>
              <w:widowControl/>
              <w:autoSpaceDE/>
              <w:autoSpaceDN/>
              <w:jc w:val="center"/>
              <w:rPr>
                <w:rFonts w:asciiTheme="minorHAnsi" w:eastAsia="Times New Roman" w:hAnsiTheme="minorHAnsi" w:cstheme="minorHAnsi"/>
                <w:b/>
                <w:bCs/>
                <w:color w:val="000000" w:themeColor="text1"/>
                <w:sz w:val="20"/>
                <w:szCs w:val="20"/>
                <w:lang w:val="es-CL" w:eastAsia="es-CL"/>
              </w:rPr>
            </w:pPr>
            <w:r w:rsidRPr="001C6457">
              <w:rPr>
                <w:rFonts w:asciiTheme="minorHAnsi" w:eastAsia="Times New Roman" w:hAnsiTheme="minorHAnsi" w:cstheme="minorHAnsi"/>
                <w:b/>
                <w:bCs/>
                <w:color w:val="000000" w:themeColor="text1"/>
                <w:sz w:val="20"/>
                <w:szCs w:val="20"/>
                <w:lang w:val="es-CL" w:eastAsia="es-CL"/>
              </w:rPr>
              <w:t>Actividad</w:t>
            </w:r>
          </w:p>
        </w:tc>
        <w:tc>
          <w:tcPr>
            <w:tcW w:w="0" w:type="auto"/>
            <w:hideMark/>
          </w:tcPr>
          <w:p w14:paraId="0746545A" w14:textId="77777777" w:rsidR="001C6457" w:rsidRPr="001C6457" w:rsidRDefault="001C6457" w:rsidP="001C6457">
            <w:pPr>
              <w:widowControl/>
              <w:autoSpaceDE/>
              <w:autoSpaceDN/>
              <w:jc w:val="center"/>
              <w:rPr>
                <w:rFonts w:asciiTheme="minorHAnsi" w:eastAsia="Times New Roman" w:hAnsiTheme="minorHAnsi" w:cstheme="minorHAnsi"/>
                <w:b/>
                <w:bCs/>
                <w:color w:val="000000" w:themeColor="text1"/>
                <w:sz w:val="20"/>
                <w:szCs w:val="20"/>
                <w:lang w:val="es-CL" w:eastAsia="es-CL"/>
              </w:rPr>
            </w:pPr>
            <w:proofErr w:type="spellStart"/>
            <w:r w:rsidRPr="001C6457">
              <w:rPr>
                <w:rFonts w:asciiTheme="minorHAnsi" w:eastAsia="Times New Roman" w:hAnsiTheme="minorHAnsi" w:cstheme="minorHAnsi"/>
                <w:b/>
                <w:bCs/>
                <w:color w:val="000000" w:themeColor="text1"/>
                <w:sz w:val="20"/>
                <w:szCs w:val="20"/>
                <w:lang w:val="es-CL" w:eastAsia="es-CL"/>
              </w:rPr>
              <w:t>Sub-actividad</w:t>
            </w:r>
            <w:proofErr w:type="spellEnd"/>
          </w:p>
        </w:tc>
        <w:tc>
          <w:tcPr>
            <w:tcW w:w="0" w:type="auto"/>
            <w:hideMark/>
          </w:tcPr>
          <w:p w14:paraId="301EB36C" w14:textId="77777777" w:rsidR="001C6457" w:rsidRPr="001C6457" w:rsidRDefault="001C6457" w:rsidP="001C6457">
            <w:pPr>
              <w:widowControl/>
              <w:autoSpaceDE/>
              <w:autoSpaceDN/>
              <w:jc w:val="center"/>
              <w:rPr>
                <w:rFonts w:asciiTheme="minorHAnsi" w:eastAsia="Times New Roman" w:hAnsiTheme="minorHAnsi" w:cstheme="minorHAnsi"/>
                <w:b/>
                <w:bCs/>
                <w:color w:val="000000" w:themeColor="text1"/>
                <w:sz w:val="20"/>
                <w:szCs w:val="20"/>
                <w:lang w:val="es-CL" w:eastAsia="es-CL"/>
              </w:rPr>
            </w:pPr>
            <w:r w:rsidRPr="001C6457">
              <w:rPr>
                <w:rFonts w:asciiTheme="minorHAnsi" w:eastAsia="Times New Roman" w:hAnsiTheme="minorHAnsi" w:cstheme="minorHAnsi"/>
                <w:b/>
                <w:bCs/>
                <w:color w:val="000000" w:themeColor="text1"/>
                <w:sz w:val="20"/>
                <w:szCs w:val="20"/>
                <w:lang w:val="es-CL" w:eastAsia="es-CL"/>
              </w:rPr>
              <w:t>Abr</w:t>
            </w:r>
          </w:p>
        </w:tc>
        <w:tc>
          <w:tcPr>
            <w:tcW w:w="0" w:type="auto"/>
            <w:hideMark/>
          </w:tcPr>
          <w:p w14:paraId="24D60EF4" w14:textId="77777777" w:rsidR="001C6457" w:rsidRPr="001C6457" w:rsidRDefault="001C6457" w:rsidP="001C6457">
            <w:pPr>
              <w:widowControl/>
              <w:autoSpaceDE/>
              <w:autoSpaceDN/>
              <w:jc w:val="center"/>
              <w:rPr>
                <w:rFonts w:asciiTheme="minorHAnsi" w:eastAsia="Times New Roman" w:hAnsiTheme="minorHAnsi" w:cstheme="minorHAnsi"/>
                <w:b/>
                <w:bCs/>
                <w:color w:val="000000" w:themeColor="text1"/>
                <w:sz w:val="20"/>
                <w:szCs w:val="20"/>
                <w:lang w:val="es-CL" w:eastAsia="es-CL"/>
              </w:rPr>
            </w:pPr>
            <w:r w:rsidRPr="001C6457">
              <w:rPr>
                <w:rFonts w:asciiTheme="minorHAnsi" w:eastAsia="Times New Roman" w:hAnsiTheme="minorHAnsi" w:cstheme="minorHAnsi"/>
                <w:b/>
                <w:bCs/>
                <w:color w:val="000000" w:themeColor="text1"/>
                <w:sz w:val="20"/>
                <w:szCs w:val="20"/>
                <w:lang w:val="es-CL" w:eastAsia="es-CL"/>
              </w:rPr>
              <w:t>May</w:t>
            </w:r>
          </w:p>
        </w:tc>
        <w:tc>
          <w:tcPr>
            <w:tcW w:w="0" w:type="auto"/>
            <w:hideMark/>
          </w:tcPr>
          <w:p w14:paraId="43085C84" w14:textId="77777777" w:rsidR="001C6457" w:rsidRPr="001C6457" w:rsidRDefault="001C6457" w:rsidP="001C6457">
            <w:pPr>
              <w:widowControl/>
              <w:autoSpaceDE/>
              <w:autoSpaceDN/>
              <w:jc w:val="center"/>
              <w:rPr>
                <w:rFonts w:asciiTheme="minorHAnsi" w:eastAsia="Times New Roman" w:hAnsiTheme="minorHAnsi" w:cstheme="minorHAnsi"/>
                <w:b/>
                <w:bCs/>
                <w:color w:val="000000" w:themeColor="text1"/>
                <w:sz w:val="20"/>
                <w:szCs w:val="20"/>
                <w:lang w:val="es-CL" w:eastAsia="es-CL"/>
              </w:rPr>
            </w:pPr>
            <w:r w:rsidRPr="001C6457">
              <w:rPr>
                <w:rFonts w:asciiTheme="minorHAnsi" w:eastAsia="Times New Roman" w:hAnsiTheme="minorHAnsi" w:cstheme="minorHAnsi"/>
                <w:b/>
                <w:bCs/>
                <w:color w:val="000000" w:themeColor="text1"/>
                <w:sz w:val="20"/>
                <w:szCs w:val="20"/>
                <w:lang w:val="es-CL" w:eastAsia="es-CL"/>
              </w:rPr>
              <w:t>Jun</w:t>
            </w:r>
          </w:p>
        </w:tc>
        <w:tc>
          <w:tcPr>
            <w:tcW w:w="0" w:type="auto"/>
            <w:hideMark/>
          </w:tcPr>
          <w:p w14:paraId="32D1FE6F" w14:textId="77777777" w:rsidR="001C6457" w:rsidRPr="001C6457" w:rsidRDefault="001C6457" w:rsidP="001C6457">
            <w:pPr>
              <w:widowControl/>
              <w:autoSpaceDE/>
              <w:autoSpaceDN/>
              <w:jc w:val="center"/>
              <w:rPr>
                <w:rFonts w:asciiTheme="minorHAnsi" w:eastAsia="Times New Roman" w:hAnsiTheme="minorHAnsi" w:cstheme="minorHAnsi"/>
                <w:b/>
                <w:bCs/>
                <w:color w:val="000000" w:themeColor="text1"/>
                <w:sz w:val="20"/>
                <w:szCs w:val="20"/>
                <w:lang w:val="es-CL" w:eastAsia="es-CL"/>
              </w:rPr>
            </w:pPr>
            <w:r w:rsidRPr="001C6457">
              <w:rPr>
                <w:rFonts w:asciiTheme="minorHAnsi" w:eastAsia="Times New Roman" w:hAnsiTheme="minorHAnsi" w:cstheme="minorHAnsi"/>
                <w:b/>
                <w:bCs/>
                <w:color w:val="000000" w:themeColor="text1"/>
                <w:sz w:val="20"/>
                <w:szCs w:val="20"/>
                <w:lang w:val="es-CL" w:eastAsia="es-CL"/>
              </w:rPr>
              <w:t>Jul</w:t>
            </w:r>
          </w:p>
        </w:tc>
        <w:tc>
          <w:tcPr>
            <w:tcW w:w="0" w:type="auto"/>
            <w:hideMark/>
          </w:tcPr>
          <w:p w14:paraId="3D1AB0EE" w14:textId="77777777" w:rsidR="001C6457" w:rsidRPr="001C6457" w:rsidRDefault="001C6457" w:rsidP="001C6457">
            <w:pPr>
              <w:widowControl/>
              <w:autoSpaceDE/>
              <w:autoSpaceDN/>
              <w:jc w:val="center"/>
              <w:rPr>
                <w:rFonts w:asciiTheme="minorHAnsi" w:eastAsia="Times New Roman" w:hAnsiTheme="minorHAnsi" w:cstheme="minorHAnsi"/>
                <w:b/>
                <w:bCs/>
                <w:color w:val="000000" w:themeColor="text1"/>
                <w:sz w:val="20"/>
                <w:szCs w:val="20"/>
                <w:lang w:val="es-CL" w:eastAsia="es-CL"/>
              </w:rPr>
            </w:pPr>
            <w:r w:rsidRPr="001C6457">
              <w:rPr>
                <w:rFonts w:asciiTheme="minorHAnsi" w:eastAsia="Times New Roman" w:hAnsiTheme="minorHAnsi" w:cstheme="minorHAnsi"/>
                <w:b/>
                <w:bCs/>
                <w:color w:val="000000" w:themeColor="text1"/>
                <w:sz w:val="20"/>
                <w:szCs w:val="20"/>
                <w:lang w:val="es-CL" w:eastAsia="es-CL"/>
              </w:rPr>
              <w:t>Ago</w:t>
            </w:r>
          </w:p>
        </w:tc>
        <w:tc>
          <w:tcPr>
            <w:tcW w:w="0" w:type="auto"/>
            <w:hideMark/>
          </w:tcPr>
          <w:p w14:paraId="440274AD" w14:textId="77777777" w:rsidR="001C6457" w:rsidRPr="001C6457" w:rsidRDefault="001C6457" w:rsidP="001C6457">
            <w:pPr>
              <w:widowControl/>
              <w:autoSpaceDE/>
              <w:autoSpaceDN/>
              <w:jc w:val="center"/>
              <w:rPr>
                <w:rFonts w:asciiTheme="minorHAnsi" w:eastAsia="Times New Roman" w:hAnsiTheme="minorHAnsi" w:cstheme="minorHAnsi"/>
                <w:b/>
                <w:bCs/>
                <w:color w:val="000000" w:themeColor="text1"/>
                <w:sz w:val="20"/>
                <w:szCs w:val="20"/>
                <w:lang w:val="es-CL" w:eastAsia="es-CL"/>
              </w:rPr>
            </w:pPr>
            <w:proofErr w:type="spellStart"/>
            <w:r w:rsidRPr="001C6457">
              <w:rPr>
                <w:rFonts w:asciiTheme="minorHAnsi" w:eastAsia="Times New Roman" w:hAnsiTheme="minorHAnsi" w:cstheme="minorHAnsi"/>
                <w:b/>
                <w:bCs/>
                <w:color w:val="000000" w:themeColor="text1"/>
                <w:sz w:val="20"/>
                <w:szCs w:val="20"/>
                <w:lang w:val="es-CL" w:eastAsia="es-CL"/>
              </w:rPr>
              <w:t>Sep</w:t>
            </w:r>
            <w:proofErr w:type="spellEnd"/>
          </w:p>
        </w:tc>
        <w:tc>
          <w:tcPr>
            <w:tcW w:w="0" w:type="auto"/>
            <w:hideMark/>
          </w:tcPr>
          <w:p w14:paraId="2D42DF00" w14:textId="77777777" w:rsidR="001C6457" w:rsidRPr="001C6457" w:rsidRDefault="001C6457" w:rsidP="001C6457">
            <w:pPr>
              <w:widowControl/>
              <w:autoSpaceDE/>
              <w:autoSpaceDN/>
              <w:jc w:val="center"/>
              <w:rPr>
                <w:rFonts w:asciiTheme="minorHAnsi" w:eastAsia="Times New Roman" w:hAnsiTheme="minorHAnsi" w:cstheme="minorHAnsi"/>
                <w:b/>
                <w:bCs/>
                <w:color w:val="000000" w:themeColor="text1"/>
                <w:sz w:val="20"/>
                <w:szCs w:val="20"/>
                <w:lang w:val="es-CL" w:eastAsia="es-CL"/>
              </w:rPr>
            </w:pPr>
            <w:r w:rsidRPr="001C6457">
              <w:rPr>
                <w:rFonts w:asciiTheme="minorHAnsi" w:eastAsia="Times New Roman" w:hAnsiTheme="minorHAnsi" w:cstheme="minorHAnsi"/>
                <w:b/>
                <w:bCs/>
                <w:color w:val="000000" w:themeColor="text1"/>
                <w:sz w:val="20"/>
                <w:szCs w:val="20"/>
                <w:lang w:val="es-CL" w:eastAsia="es-CL"/>
              </w:rPr>
              <w:t>Oct</w:t>
            </w:r>
          </w:p>
        </w:tc>
        <w:tc>
          <w:tcPr>
            <w:tcW w:w="0" w:type="auto"/>
            <w:hideMark/>
          </w:tcPr>
          <w:p w14:paraId="7971C7C8" w14:textId="77777777" w:rsidR="001C6457" w:rsidRPr="001C6457" w:rsidRDefault="001C6457" w:rsidP="001C6457">
            <w:pPr>
              <w:widowControl/>
              <w:autoSpaceDE/>
              <w:autoSpaceDN/>
              <w:jc w:val="center"/>
              <w:rPr>
                <w:rFonts w:asciiTheme="minorHAnsi" w:eastAsia="Times New Roman" w:hAnsiTheme="minorHAnsi" w:cstheme="minorHAnsi"/>
                <w:b/>
                <w:bCs/>
                <w:color w:val="000000" w:themeColor="text1"/>
                <w:sz w:val="20"/>
                <w:szCs w:val="20"/>
                <w:lang w:val="es-CL" w:eastAsia="es-CL"/>
              </w:rPr>
            </w:pPr>
            <w:r w:rsidRPr="001C6457">
              <w:rPr>
                <w:rFonts w:asciiTheme="minorHAnsi" w:eastAsia="Times New Roman" w:hAnsiTheme="minorHAnsi" w:cstheme="minorHAnsi"/>
                <w:b/>
                <w:bCs/>
                <w:color w:val="000000" w:themeColor="text1"/>
                <w:sz w:val="20"/>
                <w:szCs w:val="20"/>
                <w:lang w:val="es-CL" w:eastAsia="es-CL"/>
              </w:rPr>
              <w:t>Nov</w:t>
            </w:r>
          </w:p>
        </w:tc>
      </w:tr>
      <w:tr w:rsidR="001C6457" w:rsidRPr="001C6457" w14:paraId="1C934438" w14:textId="77777777" w:rsidTr="001C6457">
        <w:tc>
          <w:tcPr>
            <w:tcW w:w="0" w:type="auto"/>
            <w:vMerge w:val="restart"/>
            <w:hideMark/>
          </w:tcPr>
          <w:p w14:paraId="2C64717C"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r w:rsidRPr="001C6457">
              <w:rPr>
                <w:rFonts w:asciiTheme="minorHAnsi" w:eastAsia="Times New Roman" w:hAnsiTheme="minorHAnsi" w:cstheme="minorHAnsi"/>
                <w:b/>
                <w:bCs/>
                <w:color w:val="000000" w:themeColor="text1"/>
                <w:sz w:val="20"/>
                <w:szCs w:val="20"/>
                <w:lang w:val="es-CL" w:eastAsia="es-CL"/>
              </w:rPr>
              <w:t>Diagnóstico ecológico y productivo</w:t>
            </w:r>
          </w:p>
        </w:tc>
        <w:tc>
          <w:tcPr>
            <w:tcW w:w="0" w:type="auto"/>
            <w:hideMark/>
          </w:tcPr>
          <w:p w14:paraId="24625AB2"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r w:rsidRPr="001C6457">
              <w:rPr>
                <w:rFonts w:asciiTheme="minorHAnsi" w:eastAsia="Times New Roman" w:hAnsiTheme="minorHAnsi" w:cstheme="minorHAnsi"/>
                <w:color w:val="000000" w:themeColor="text1"/>
                <w:sz w:val="20"/>
                <w:szCs w:val="20"/>
                <w:lang w:val="es-CL" w:eastAsia="es-CL"/>
              </w:rPr>
              <w:t>Caracterización del sitio (suelo, clima, pendiente)</w:t>
            </w:r>
          </w:p>
        </w:tc>
        <w:tc>
          <w:tcPr>
            <w:tcW w:w="0" w:type="auto"/>
            <w:hideMark/>
          </w:tcPr>
          <w:p w14:paraId="6C3E1E6D"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r w:rsidRPr="001C6457">
              <w:rPr>
                <w:rFonts w:asciiTheme="minorHAnsi" w:eastAsia="Times New Roman" w:hAnsiTheme="minorHAnsi" w:cstheme="minorHAnsi"/>
                <w:color w:val="000000" w:themeColor="text1"/>
                <w:sz w:val="20"/>
                <w:szCs w:val="20"/>
                <w:lang w:val="es-CL" w:eastAsia="es-CL"/>
              </w:rPr>
              <w:t>X</w:t>
            </w:r>
          </w:p>
        </w:tc>
        <w:tc>
          <w:tcPr>
            <w:tcW w:w="0" w:type="auto"/>
            <w:hideMark/>
          </w:tcPr>
          <w:p w14:paraId="26222B8B"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07ED355D"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3224D74D"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4A646662"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08B8AD66"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2FE0D5D5"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5F78138F"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r>
      <w:tr w:rsidR="001C6457" w:rsidRPr="001C6457" w14:paraId="3468A722" w14:textId="77777777" w:rsidTr="001C6457">
        <w:tc>
          <w:tcPr>
            <w:tcW w:w="0" w:type="auto"/>
            <w:vMerge/>
            <w:hideMark/>
          </w:tcPr>
          <w:p w14:paraId="58ACE811"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7C4FB834"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r w:rsidRPr="001C6457">
              <w:rPr>
                <w:rFonts w:asciiTheme="minorHAnsi" w:eastAsia="Times New Roman" w:hAnsiTheme="minorHAnsi" w:cstheme="minorHAnsi"/>
                <w:color w:val="000000" w:themeColor="text1"/>
                <w:sz w:val="20"/>
                <w:szCs w:val="20"/>
                <w:lang w:val="es-CL" w:eastAsia="es-CL"/>
              </w:rPr>
              <w:t>Evaluación de degradación y regeneración natural</w:t>
            </w:r>
          </w:p>
        </w:tc>
        <w:tc>
          <w:tcPr>
            <w:tcW w:w="0" w:type="auto"/>
            <w:hideMark/>
          </w:tcPr>
          <w:p w14:paraId="195A8F8A"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r w:rsidRPr="001C6457">
              <w:rPr>
                <w:rFonts w:asciiTheme="minorHAnsi" w:eastAsia="Times New Roman" w:hAnsiTheme="minorHAnsi" w:cstheme="minorHAnsi"/>
                <w:color w:val="000000" w:themeColor="text1"/>
                <w:sz w:val="20"/>
                <w:szCs w:val="20"/>
                <w:lang w:val="es-CL" w:eastAsia="es-CL"/>
              </w:rPr>
              <w:t>X</w:t>
            </w:r>
          </w:p>
        </w:tc>
        <w:tc>
          <w:tcPr>
            <w:tcW w:w="0" w:type="auto"/>
            <w:hideMark/>
          </w:tcPr>
          <w:p w14:paraId="4241634B"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618B1CFE"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30E439EE"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3E8F2A64"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155A0A62"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3A4D1317"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39E229C1"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r>
      <w:tr w:rsidR="001C6457" w:rsidRPr="001C6457" w14:paraId="31278BB6" w14:textId="77777777" w:rsidTr="001C6457">
        <w:tc>
          <w:tcPr>
            <w:tcW w:w="0" w:type="auto"/>
            <w:vMerge/>
            <w:hideMark/>
          </w:tcPr>
          <w:p w14:paraId="2DE08AE9"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1A3DD208"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r w:rsidRPr="001C6457">
              <w:rPr>
                <w:rFonts w:asciiTheme="minorHAnsi" w:eastAsia="Times New Roman" w:hAnsiTheme="minorHAnsi" w:cstheme="minorHAnsi"/>
                <w:color w:val="000000" w:themeColor="text1"/>
                <w:sz w:val="20"/>
                <w:szCs w:val="20"/>
                <w:lang w:val="es-CL" w:eastAsia="es-CL"/>
              </w:rPr>
              <w:t>Análisis de carga ganadera</w:t>
            </w:r>
          </w:p>
        </w:tc>
        <w:tc>
          <w:tcPr>
            <w:tcW w:w="0" w:type="auto"/>
            <w:hideMark/>
          </w:tcPr>
          <w:p w14:paraId="50AF3806"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r w:rsidRPr="001C6457">
              <w:rPr>
                <w:rFonts w:asciiTheme="minorHAnsi" w:eastAsia="Times New Roman" w:hAnsiTheme="minorHAnsi" w:cstheme="minorHAnsi"/>
                <w:color w:val="000000" w:themeColor="text1"/>
                <w:sz w:val="20"/>
                <w:szCs w:val="20"/>
                <w:lang w:val="es-CL" w:eastAsia="es-CL"/>
              </w:rPr>
              <w:t>X</w:t>
            </w:r>
          </w:p>
        </w:tc>
        <w:tc>
          <w:tcPr>
            <w:tcW w:w="0" w:type="auto"/>
            <w:hideMark/>
          </w:tcPr>
          <w:p w14:paraId="6D052414"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794614AA"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1093B246"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0D2AEC4B"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42B7A9F3"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1AFFABAB"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5D69712C"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r>
      <w:tr w:rsidR="001C6457" w:rsidRPr="001C6457" w14:paraId="3640436B" w14:textId="77777777" w:rsidTr="001C6457">
        <w:tc>
          <w:tcPr>
            <w:tcW w:w="0" w:type="auto"/>
            <w:hideMark/>
          </w:tcPr>
          <w:p w14:paraId="5527A014"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r w:rsidRPr="001C6457">
              <w:rPr>
                <w:rFonts w:asciiTheme="minorHAnsi" w:eastAsia="Times New Roman" w:hAnsiTheme="minorHAnsi" w:cstheme="minorHAnsi"/>
                <w:b/>
                <w:bCs/>
                <w:color w:val="000000" w:themeColor="text1"/>
                <w:sz w:val="20"/>
                <w:szCs w:val="20"/>
                <w:lang w:val="es-CL" w:eastAsia="es-CL"/>
              </w:rPr>
              <w:t>Zonificación del predio</w:t>
            </w:r>
          </w:p>
        </w:tc>
        <w:tc>
          <w:tcPr>
            <w:tcW w:w="0" w:type="auto"/>
            <w:hideMark/>
          </w:tcPr>
          <w:p w14:paraId="6C350CBC"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r w:rsidRPr="001C6457">
              <w:rPr>
                <w:rFonts w:asciiTheme="minorHAnsi" w:eastAsia="Times New Roman" w:hAnsiTheme="minorHAnsi" w:cstheme="minorHAnsi"/>
                <w:color w:val="000000" w:themeColor="text1"/>
                <w:sz w:val="20"/>
                <w:szCs w:val="20"/>
                <w:lang w:val="es-CL" w:eastAsia="es-CL"/>
              </w:rPr>
              <w:t>Definición de zonas (conservación, restauración, producción)</w:t>
            </w:r>
          </w:p>
        </w:tc>
        <w:tc>
          <w:tcPr>
            <w:tcW w:w="0" w:type="auto"/>
            <w:hideMark/>
          </w:tcPr>
          <w:p w14:paraId="4A367099"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r w:rsidRPr="001C6457">
              <w:rPr>
                <w:rFonts w:asciiTheme="minorHAnsi" w:eastAsia="Times New Roman" w:hAnsiTheme="minorHAnsi" w:cstheme="minorHAnsi"/>
                <w:color w:val="000000" w:themeColor="text1"/>
                <w:sz w:val="20"/>
                <w:szCs w:val="20"/>
                <w:lang w:val="es-CL" w:eastAsia="es-CL"/>
              </w:rPr>
              <w:t>X</w:t>
            </w:r>
          </w:p>
        </w:tc>
        <w:tc>
          <w:tcPr>
            <w:tcW w:w="0" w:type="auto"/>
            <w:hideMark/>
          </w:tcPr>
          <w:p w14:paraId="258A716E"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r w:rsidRPr="001C6457">
              <w:rPr>
                <w:rFonts w:asciiTheme="minorHAnsi" w:eastAsia="Times New Roman" w:hAnsiTheme="minorHAnsi" w:cstheme="minorHAnsi"/>
                <w:color w:val="000000" w:themeColor="text1"/>
                <w:sz w:val="20"/>
                <w:szCs w:val="20"/>
                <w:lang w:val="es-CL" w:eastAsia="es-CL"/>
              </w:rPr>
              <w:t>X</w:t>
            </w:r>
          </w:p>
        </w:tc>
        <w:tc>
          <w:tcPr>
            <w:tcW w:w="0" w:type="auto"/>
            <w:hideMark/>
          </w:tcPr>
          <w:p w14:paraId="4B2E4640"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4949F56B"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3558E07D"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2DA8F45A"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45B2EB79"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7C00656F"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r>
      <w:tr w:rsidR="001C6457" w:rsidRPr="001C6457" w14:paraId="778A6FA6" w14:textId="77777777" w:rsidTr="001C6457">
        <w:tc>
          <w:tcPr>
            <w:tcW w:w="0" w:type="auto"/>
            <w:hideMark/>
          </w:tcPr>
          <w:p w14:paraId="5A672F85"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r w:rsidRPr="001C6457">
              <w:rPr>
                <w:rFonts w:asciiTheme="minorHAnsi" w:eastAsia="Times New Roman" w:hAnsiTheme="minorHAnsi" w:cstheme="minorHAnsi"/>
                <w:b/>
                <w:bCs/>
                <w:color w:val="000000" w:themeColor="text1"/>
                <w:sz w:val="20"/>
                <w:szCs w:val="20"/>
                <w:lang w:val="es-CL" w:eastAsia="es-CL"/>
              </w:rPr>
              <w:t>Planificación de restauración</w:t>
            </w:r>
          </w:p>
        </w:tc>
        <w:tc>
          <w:tcPr>
            <w:tcW w:w="0" w:type="auto"/>
            <w:hideMark/>
          </w:tcPr>
          <w:p w14:paraId="4396DE61"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r w:rsidRPr="001C6457">
              <w:rPr>
                <w:rFonts w:asciiTheme="minorHAnsi" w:eastAsia="Times New Roman" w:hAnsiTheme="minorHAnsi" w:cstheme="minorHAnsi"/>
                <w:color w:val="000000" w:themeColor="text1"/>
                <w:sz w:val="20"/>
                <w:szCs w:val="20"/>
                <w:lang w:val="es-CL" w:eastAsia="es-CL"/>
              </w:rPr>
              <w:t>Selección de especies y diseño de plantación</w:t>
            </w:r>
          </w:p>
        </w:tc>
        <w:tc>
          <w:tcPr>
            <w:tcW w:w="0" w:type="auto"/>
            <w:hideMark/>
          </w:tcPr>
          <w:p w14:paraId="0DDDF9A5"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17BEF095"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r w:rsidRPr="001C6457">
              <w:rPr>
                <w:rFonts w:asciiTheme="minorHAnsi" w:eastAsia="Times New Roman" w:hAnsiTheme="minorHAnsi" w:cstheme="minorHAnsi"/>
                <w:color w:val="000000" w:themeColor="text1"/>
                <w:sz w:val="20"/>
                <w:szCs w:val="20"/>
                <w:lang w:val="es-CL" w:eastAsia="es-CL"/>
              </w:rPr>
              <w:t>X</w:t>
            </w:r>
          </w:p>
        </w:tc>
        <w:tc>
          <w:tcPr>
            <w:tcW w:w="0" w:type="auto"/>
            <w:hideMark/>
          </w:tcPr>
          <w:p w14:paraId="13203C1A"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r w:rsidRPr="001C6457">
              <w:rPr>
                <w:rFonts w:asciiTheme="minorHAnsi" w:eastAsia="Times New Roman" w:hAnsiTheme="minorHAnsi" w:cstheme="minorHAnsi"/>
                <w:color w:val="000000" w:themeColor="text1"/>
                <w:sz w:val="20"/>
                <w:szCs w:val="20"/>
                <w:lang w:val="es-CL" w:eastAsia="es-CL"/>
              </w:rPr>
              <w:t>X</w:t>
            </w:r>
          </w:p>
        </w:tc>
        <w:tc>
          <w:tcPr>
            <w:tcW w:w="0" w:type="auto"/>
            <w:hideMark/>
          </w:tcPr>
          <w:p w14:paraId="56AE7F38"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7F537602"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3FE335CB"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0A938B62"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5956F1E3"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r>
      <w:tr w:rsidR="001C6457" w:rsidRPr="001C6457" w14:paraId="364C85DF" w14:textId="77777777" w:rsidTr="001C6457">
        <w:tc>
          <w:tcPr>
            <w:tcW w:w="0" w:type="auto"/>
            <w:hideMark/>
          </w:tcPr>
          <w:p w14:paraId="14EA1983"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73E160C6" w14:textId="737A8F24"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r w:rsidRPr="001C6457">
              <w:rPr>
                <w:rFonts w:asciiTheme="minorHAnsi" w:eastAsia="Times New Roman" w:hAnsiTheme="minorHAnsi" w:cstheme="minorHAnsi"/>
                <w:color w:val="000000" w:themeColor="text1"/>
                <w:sz w:val="20"/>
                <w:szCs w:val="20"/>
                <w:lang w:val="es-CL" w:eastAsia="es-CL"/>
              </w:rPr>
              <w:t xml:space="preserve">Diseño sistema </w:t>
            </w:r>
            <w:r w:rsidR="00DA0BD2" w:rsidRPr="001C6457">
              <w:rPr>
                <w:rFonts w:asciiTheme="minorHAnsi" w:eastAsia="Times New Roman" w:hAnsiTheme="minorHAnsi" w:cstheme="minorHAnsi"/>
                <w:color w:val="000000" w:themeColor="text1"/>
                <w:sz w:val="20"/>
                <w:szCs w:val="20"/>
                <w:lang w:val="es-CL" w:eastAsia="es-CL"/>
              </w:rPr>
              <w:t>silvopastoril</w:t>
            </w:r>
            <w:r w:rsidRPr="001C6457">
              <w:rPr>
                <w:rFonts w:asciiTheme="minorHAnsi" w:eastAsia="Times New Roman" w:hAnsiTheme="minorHAnsi" w:cstheme="minorHAnsi"/>
                <w:color w:val="000000" w:themeColor="text1"/>
                <w:sz w:val="20"/>
                <w:szCs w:val="20"/>
                <w:lang w:val="es-CL" w:eastAsia="es-CL"/>
              </w:rPr>
              <w:t xml:space="preserve"> y cercos</w:t>
            </w:r>
          </w:p>
        </w:tc>
        <w:tc>
          <w:tcPr>
            <w:tcW w:w="0" w:type="auto"/>
            <w:hideMark/>
          </w:tcPr>
          <w:p w14:paraId="284A6FE3"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4AB316EE"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r w:rsidRPr="001C6457">
              <w:rPr>
                <w:rFonts w:asciiTheme="minorHAnsi" w:eastAsia="Times New Roman" w:hAnsiTheme="minorHAnsi" w:cstheme="minorHAnsi"/>
                <w:color w:val="000000" w:themeColor="text1"/>
                <w:sz w:val="20"/>
                <w:szCs w:val="20"/>
                <w:lang w:val="es-CL" w:eastAsia="es-CL"/>
              </w:rPr>
              <w:t>X</w:t>
            </w:r>
          </w:p>
        </w:tc>
        <w:tc>
          <w:tcPr>
            <w:tcW w:w="0" w:type="auto"/>
            <w:hideMark/>
          </w:tcPr>
          <w:p w14:paraId="53837C88"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r w:rsidRPr="001C6457">
              <w:rPr>
                <w:rFonts w:asciiTheme="minorHAnsi" w:eastAsia="Times New Roman" w:hAnsiTheme="minorHAnsi" w:cstheme="minorHAnsi"/>
                <w:color w:val="000000" w:themeColor="text1"/>
                <w:sz w:val="20"/>
                <w:szCs w:val="20"/>
                <w:lang w:val="es-CL" w:eastAsia="es-CL"/>
              </w:rPr>
              <w:t>X</w:t>
            </w:r>
          </w:p>
        </w:tc>
        <w:tc>
          <w:tcPr>
            <w:tcW w:w="0" w:type="auto"/>
            <w:hideMark/>
          </w:tcPr>
          <w:p w14:paraId="764D3F99"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0C8DDAC1"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390DCF7E"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61DDE326"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1860027F"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r>
      <w:tr w:rsidR="001C6457" w:rsidRPr="001C6457" w14:paraId="34B15A69" w14:textId="77777777" w:rsidTr="001C6457">
        <w:tc>
          <w:tcPr>
            <w:tcW w:w="0" w:type="auto"/>
            <w:vMerge w:val="restart"/>
            <w:hideMark/>
          </w:tcPr>
          <w:p w14:paraId="30B89DA5"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r w:rsidRPr="001C6457">
              <w:rPr>
                <w:rFonts w:asciiTheme="minorHAnsi" w:eastAsia="Times New Roman" w:hAnsiTheme="minorHAnsi" w:cstheme="minorHAnsi"/>
                <w:b/>
                <w:bCs/>
                <w:color w:val="000000" w:themeColor="text1"/>
                <w:sz w:val="20"/>
                <w:szCs w:val="20"/>
                <w:lang w:val="es-CL" w:eastAsia="es-CL"/>
              </w:rPr>
              <w:t>Preparación del sitio</w:t>
            </w:r>
          </w:p>
        </w:tc>
        <w:tc>
          <w:tcPr>
            <w:tcW w:w="0" w:type="auto"/>
            <w:hideMark/>
          </w:tcPr>
          <w:p w14:paraId="3584906B"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r w:rsidRPr="001C6457">
              <w:rPr>
                <w:rFonts w:asciiTheme="minorHAnsi" w:eastAsia="Times New Roman" w:hAnsiTheme="minorHAnsi" w:cstheme="minorHAnsi"/>
                <w:color w:val="000000" w:themeColor="text1"/>
                <w:sz w:val="20"/>
                <w:szCs w:val="20"/>
                <w:lang w:val="es-CL" w:eastAsia="es-CL"/>
              </w:rPr>
              <w:t>Control de malezas y acondicionamiento de suelo</w:t>
            </w:r>
          </w:p>
        </w:tc>
        <w:tc>
          <w:tcPr>
            <w:tcW w:w="0" w:type="auto"/>
            <w:hideMark/>
          </w:tcPr>
          <w:p w14:paraId="39A52BAB"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10890DF3"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74E8DA0C"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r w:rsidRPr="001C6457">
              <w:rPr>
                <w:rFonts w:asciiTheme="minorHAnsi" w:eastAsia="Times New Roman" w:hAnsiTheme="minorHAnsi" w:cstheme="minorHAnsi"/>
                <w:color w:val="000000" w:themeColor="text1"/>
                <w:sz w:val="20"/>
                <w:szCs w:val="20"/>
                <w:lang w:val="es-CL" w:eastAsia="es-CL"/>
              </w:rPr>
              <w:t>X</w:t>
            </w:r>
          </w:p>
        </w:tc>
        <w:tc>
          <w:tcPr>
            <w:tcW w:w="0" w:type="auto"/>
            <w:hideMark/>
          </w:tcPr>
          <w:p w14:paraId="2401F619"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r w:rsidRPr="001C6457">
              <w:rPr>
                <w:rFonts w:asciiTheme="minorHAnsi" w:eastAsia="Times New Roman" w:hAnsiTheme="minorHAnsi" w:cstheme="minorHAnsi"/>
                <w:color w:val="000000" w:themeColor="text1"/>
                <w:sz w:val="20"/>
                <w:szCs w:val="20"/>
                <w:lang w:val="es-CL" w:eastAsia="es-CL"/>
              </w:rPr>
              <w:t>X</w:t>
            </w:r>
          </w:p>
        </w:tc>
        <w:tc>
          <w:tcPr>
            <w:tcW w:w="0" w:type="auto"/>
            <w:hideMark/>
          </w:tcPr>
          <w:p w14:paraId="7A4ADABF"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24B6BE09"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11A5216F"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070061B7"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r>
      <w:tr w:rsidR="001C6457" w:rsidRPr="001C6457" w14:paraId="1C20D4FA" w14:textId="77777777" w:rsidTr="001C6457">
        <w:tc>
          <w:tcPr>
            <w:tcW w:w="0" w:type="auto"/>
            <w:vMerge/>
            <w:hideMark/>
          </w:tcPr>
          <w:p w14:paraId="12E63913"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252859F5"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r w:rsidRPr="001C6457">
              <w:rPr>
                <w:rFonts w:asciiTheme="minorHAnsi" w:eastAsia="Times New Roman" w:hAnsiTheme="minorHAnsi" w:cstheme="minorHAnsi"/>
                <w:color w:val="000000" w:themeColor="text1"/>
                <w:sz w:val="20"/>
                <w:szCs w:val="20"/>
                <w:lang w:val="es-CL" w:eastAsia="es-CL"/>
              </w:rPr>
              <w:t>Instalación de cercos y marcaje</w:t>
            </w:r>
          </w:p>
        </w:tc>
        <w:tc>
          <w:tcPr>
            <w:tcW w:w="0" w:type="auto"/>
            <w:hideMark/>
          </w:tcPr>
          <w:p w14:paraId="180FCD7E"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314B2B2C"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2BC40D01"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r w:rsidRPr="001C6457">
              <w:rPr>
                <w:rFonts w:asciiTheme="minorHAnsi" w:eastAsia="Times New Roman" w:hAnsiTheme="minorHAnsi" w:cstheme="minorHAnsi"/>
                <w:color w:val="000000" w:themeColor="text1"/>
                <w:sz w:val="20"/>
                <w:szCs w:val="20"/>
                <w:lang w:val="es-CL" w:eastAsia="es-CL"/>
              </w:rPr>
              <w:t>X</w:t>
            </w:r>
          </w:p>
        </w:tc>
        <w:tc>
          <w:tcPr>
            <w:tcW w:w="0" w:type="auto"/>
            <w:hideMark/>
          </w:tcPr>
          <w:p w14:paraId="1B33A6EC"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r w:rsidRPr="001C6457">
              <w:rPr>
                <w:rFonts w:asciiTheme="minorHAnsi" w:eastAsia="Times New Roman" w:hAnsiTheme="minorHAnsi" w:cstheme="minorHAnsi"/>
                <w:color w:val="000000" w:themeColor="text1"/>
                <w:sz w:val="20"/>
                <w:szCs w:val="20"/>
                <w:lang w:val="es-CL" w:eastAsia="es-CL"/>
              </w:rPr>
              <w:t>X</w:t>
            </w:r>
          </w:p>
        </w:tc>
        <w:tc>
          <w:tcPr>
            <w:tcW w:w="0" w:type="auto"/>
            <w:hideMark/>
          </w:tcPr>
          <w:p w14:paraId="2797711F"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77DB6D61"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38000824"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7445281D"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r>
      <w:tr w:rsidR="001C6457" w:rsidRPr="001C6457" w14:paraId="7C71D92F" w14:textId="77777777" w:rsidTr="001C6457">
        <w:tc>
          <w:tcPr>
            <w:tcW w:w="0" w:type="auto"/>
            <w:vMerge w:val="restart"/>
            <w:hideMark/>
          </w:tcPr>
          <w:p w14:paraId="329738CA"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r w:rsidRPr="001C6457">
              <w:rPr>
                <w:rFonts w:asciiTheme="minorHAnsi" w:eastAsia="Times New Roman" w:hAnsiTheme="minorHAnsi" w:cstheme="minorHAnsi"/>
                <w:b/>
                <w:bCs/>
                <w:color w:val="000000" w:themeColor="text1"/>
                <w:sz w:val="20"/>
                <w:szCs w:val="20"/>
                <w:lang w:val="es-CL" w:eastAsia="es-CL"/>
              </w:rPr>
              <w:t>Implementación restauración</w:t>
            </w:r>
          </w:p>
        </w:tc>
        <w:tc>
          <w:tcPr>
            <w:tcW w:w="0" w:type="auto"/>
            <w:hideMark/>
          </w:tcPr>
          <w:p w14:paraId="6E6A592C"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r w:rsidRPr="001C6457">
              <w:rPr>
                <w:rFonts w:asciiTheme="minorHAnsi" w:eastAsia="Times New Roman" w:hAnsiTheme="minorHAnsi" w:cstheme="minorHAnsi"/>
                <w:color w:val="000000" w:themeColor="text1"/>
                <w:sz w:val="20"/>
                <w:szCs w:val="20"/>
                <w:lang w:val="es-CL" w:eastAsia="es-CL"/>
              </w:rPr>
              <w:t>Plantación de especies nativas</w:t>
            </w:r>
          </w:p>
        </w:tc>
        <w:tc>
          <w:tcPr>
            <w:tcW w:w="0" w:type="auto"/>
            <w:hideMark/>
          </w:tcPr>
          <w:p w14:paraId="00EBEB3E"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75AC5F8B"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70DA5646"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032CADB3"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r w:rsidRPr="001C6457">
              <w:rPr>
                <w:rFonts w:asciiTheme="minorHAnsi" w:eastAsia="Times New Roman" w:hAnsiTheme="minorHAnsi" w:cstheme="minorHAnsi"/>
                <w:color w:val="000000" w:themeColor="text1"/>
                <w:sz w:val="20"/>
                <w:szCs w:val="20"/>
                <w:lang w:val="es-CL" w:eastAsia="es-CL"/>
              </w:rPr>
              <w:t>X</w:t>
            </w:r>
          </w:p>
        </w:tc>
        <w:tc>
          <w:tcPr>
            <w:tcW w:w="0" w:type="auto"/>
            <w:hideMark/>
          </w:tcPr>
          <w:p w14:paraId="64105FA7"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r w:rsidRPr="001C6457">
              <w:rPr>
                <w:rFonts w:asciiTheme="minorHAnsi" w:eastAsia="Times New Roman" w:hAnsiTheme="minorHAnsi" w:cstheme="minorHAnsi"/>
                <w:color w:val="000000" w:themeColor="text1"/>
                <w:sz w:val="20"/>
                <w:szCs w:val="20"/>
                <w:lang w:val="es-CL" w:eastAsia="es-CL"/>
              </w:rPr>
              <w:t>X</w:t>
            </w:r>
          </w:p>
        </w:tc>
        <w:tc>
          <w:tcPr>
            <w:tcW w:w="0" w:type="auto"/>
            <w:hideMark/>
          </w:tcPr>
          <w:p w14:paraId="63326947"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1FFDB0F2"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6279F9D2"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r>
      <w:tr w:rsidR="001C6457" w:rsidRPr="001C6457" w14:paraId="77BA5835" w14:textId="77777777" w:rsidTr="001C6457">
        <w:tc>
          <w:tcPr>
            <w:tcW w:w="0" w:type="auto"/>
            <w:vMerge/>
            <w:hideMark/>
          </w:tcPr>
          <w:p w14:paraId="36A5CF7E"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1215F283"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r w:rsidRPr="001C6457">
              <w:rPr>
                <w:rFonts w:asciiTheme="minorHAnsi" w:eastAsia="Times New Roman" w:hAnsiTheme="minorHAnsi" w:cstheme="minorHAnsi"/>
                <w:color w:val="000000" w:themeColor="text1"/>
                <w:sz w:val="20"/>
                <w:szCs w:val="20"/>
                <w:lang w:val="es-CL" w:eastAsia="es-CL"/>
              </w:rPr>
              <w:t>Protección de plantas y regeneración asistida</w:t>
            </w:r>
          </w:p>
        </w:tc>
        <w:tc>
          <w:tcPr>
            <w:tcW w:w="0" w:type="auto"/>
            <w:hideMark/>
          </w:tcPr>
          <w:p w14:paraId="6F0547FB"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38A75175"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05ECD74A"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6A0BE6EE"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r w:rsidRPr="001C6457">
              <w:rPr>
                <w:rFonts w:asciiTheme="minorHAnsi" w:eastAsia="Times New Roman" w:hAnsiTheme="minorHAnsi" w:cstheme="minorHAnsi"/>
                <w:color w:val="000000" w:themeColor="text1"/>
                <w:sz w:val="20"/>
                <w:szCs w:val="20"/>
                <w:lang w:val="es-CL" w:eastAsia="es-CL"/>
              </w:rPr>
              <w:t>X</w:t>
            </w:r>
          </w:p>
        </w:tc>
        <w:tc>
          <w:tcPr>
            <w:tcW w:w="0" w:type="auto"/>
            <w:hideMark/>
          </w:tcPr>
          <w:p w14:paraId="65A72960"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r w:rsidRPr="001C6457">
              <w:rPr>
                <w:rFonts w:asciiTheme="minorHAnsi" w:eastAsia="Times New Roman" w:hAnsiTheme="minorHAnsi" w:cstheme="minorHAnsi"/>
                <w:color w:val="000000" w:themeColor="text1"/>
                <w:sz w:val="20"/>
                <w:szCs w:val="20"/>
                <w:lang w:val="es-CL" w:eastAsia="es-CL"/>
              </w:rPr>
              <w:t>X</w:t>
            </w:r>
          </w:p>
        </w:tc>
        <w:tc>
          <w:tcPr>
            <w:tcW w:w="0" w:type="auto"/>
            <w:hideMark/>
          </w:tcPr>
          <w:p w14:paraId="58EB3DD0"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53AF2AA7"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02043D8F"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r>
      <w:tr w:rsidR="001C6457" w:rsidRPr="001C6457" w14:paraId="1E8FD6B9" w14:textId="77777777" w:rsidTr="001C6457">
        <w:tc>
          <w:tcPr>
            <w:tcW w:w="0" w:type="auto"/>
            <w:hideMark/>
          </w:tcPr>
          <w:p w14:paraId="42D6F17A"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r w:rsidRPr="001C6457">
              <w:rPr>
                <w:rFonts w:asciiTheme="minorHAnsi" w:eastAsia="Times New Roman" w:hAnsiTheme="minorHAnsi" w:cstheme="minorHAnsi"/>
                <w:b/>
                <w:bCs/>
                <w:color w:val="000000" w:themeColor="text1"/>
                <w:sz w:val="20"/>
                <w:szCs w:val="20"/>
                <w:lang w:val="es-CL" w:eastAsia="es-CL"/>
              </w:rPr>
              <w:t>Manejo ganadero adaptado</w:t>
            </w:r>
          </w:p>
        </w:tc>
        <w:tc>
          <w:tcPr>
            <w:tcW w:w="0" w:type="auto"/>
            <w:hideMark/>
          </w:tcPr>
          <w:p w14:paraId="4AFAA86A"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r w:rsidRPr="001C6457">
              <w:rPr>
                <w:rFonts w:asciiTheme="minorHAnsi" w:eastAsia="Times New Roman" w:hAnsiTheme="minorHAnsi" w:cstheme="minorHAnsi"/>
                <w:color w:val="000000" w:themeColor="text1"/>
                <w:sz w:val="20"/>
                <w:szCs w:val="20"/>
                <w:lang w:val="es-CL" w:eastAsia="es-CL"/>
              </w:rPr>
              <w:t>Ajuste de carga y pastoreo rotacional</w:t>
            </w:r>
          </w:p>
        </w:tc>
        <w:tc>
          <w:tcPr>
            <w:tcW w:w="0" w:type="auto"/>
            <w:hideMark/>
          </w:tcPr>
          <w:p w14:paraId="0D1BD536"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7FCF1EE7"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47E17D27"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308B171D"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r w:rsidRPr="001C6457">
              <w:rPr>
                <w:rFonts w:asciiTheme="minorHAnsi" w:eastAsia="Times New Roman" w:hAnsiTheme="minorHAnsi" w:cstheme="minorHAnsi"/>
                <w:color w:val="000000" w:themeColor="text1"/>
                <w:sz w:val="20"/>
                <w:szCs w:val="20"/>
                <w:lang w:val="es-CL" w:eastAsia="es-CL"/>
              </w:rPr>
              <w:t>X</w:t>
            </w:r>
          </w:p>
        </w:tc>
        <w:tc>
          <w:tcPr>
            <w:tcW w:w="0" w:type="auto"/>
            <w:hideMark/>
          </w:tcPr>
          <w:p w14:paraId="6302741F"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r w:rsidRPr="001C6457">
              <w:rPr>
                <w:rFonts w:asciiTheme="minorHAnsi" w:eastAsia="Times New Roman" w:hAnsiTheme="minorHAnsi" w:cstheme="minorHAnsi"/>
                <w:color w:val="000000" w:themeColor="text1"/>
                <w:sz w:val="20"/>
                <w:szCs w:val="20"/>
                <w:lang w:val="es-CL" w:eastAsia="es-CL"/>
              </w:rPr>
              <w:t>X</w:t>
            </w:r>
          </w:p>
        </w:tc>
        <w:tc>
          <w:tcPr>
            <w:tcW w:w="0" w:type="auto"/>
            <w:hideMark/>
          </w:tcPr>
          <w:p w14:paraId="702DB921"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r w:rsidRPr="001C6457">
              <w:rPr>
                <w:rFonts w:asciiTheme="minorHAnsi" w:eastAsia="Times New Roman" w:hAnsiTheme="minorHAnsi" w:cstheme="minorHAnsi"/>
                <w:color w:val="000000" w:themeColor="text1"/>
                <w:sz w:val="20"/>
                <w:szCs w:val="20"/>
                <w:lang w:val="es-CL" w:eastAsia="es-CL"/>
              </w:rPr>
              <w:t>X</w:t>
            </w:r>
          </w:p>
        </w:tc>
        <w:tc>
          <w:tcPr>
            <w:tcW w:w="0" w:type="auto"/>
            <w:hideMark/>
          </w:tcPr>
          <w:p w14:paraId="25240819"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r w:rsidRPr="001C6457">
              <w:rPr>
                <w:rFonts w:asciiTheme="minorHAnsi" w:eastAsia="Times New Roman" w:hAnsiTheme="minorHAnsi" w:cstheme="minorHAnsi"/>
                <w:color w:val="000000" w:themeColor="text1"/>
                <w:sz w:val="20"/>
                <w:szCs w:val="20"/>
                <w:lang w:val="es-CL" w:eastAsia="es-CL"/>
              </w:rPr>
              <w:t>X</w:t>
            </w:r>
          </w:p>
        </w:tc>
        <w:tc>
          <w:tcPr>
            <w:tcW w:w="0" w:type="auto"/>
            <w:hideMark/>
          </w:tcPr>
          <w:p w14:paraId="72576A24"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r w:rsidRPr="001C6457">
              <w:rPr>
                <w:rFonts w:asciiTheme="minorHAnsi" w:eastAsia="Times New Roman" w:hAnsiTheme="minorHAnsi" w:cstheme="minorHAnsi"/>
                <w:color w:val="000000" w:themeColor="text1"/>
                <w:sz w:val="20"/>
                <w:szCs w:val="20"/>
                <w:lang w:val="es-CL" w:eastAsia="es-CL"/>
              </w:rPr>
              <w:t>X</w:t>
            </w:r>
          </w:p>
        </w:tc>
      </w:tr>
      <w:tr w:rsidR="001C6457" w:rsidRPr="001C6457" w14:paraId="4079A7DB" w14:textId="77777777" w:rsidTr="001C6457">
        <w:tc>
          <w:tcPr>
            <w:tcW w:w="0" w:type="auto"/>
            <w:hideMark/>
          </w:tcPr>
          <w:p w14:paraId="0F2D4390"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r w:rsidRPr="001C6457">
              <w:rPr>
                <w:rFonts w:asciiTheme="minorHAnsi" w:eastAsia="Times New Roman" w:hAnsiTheme="minorHAnsi" w:cstheme="minorHAnsi"/>
                <w:b/>
                <w:bCs/>
                <w:color w:val="000000" w:themeColor="text1"/>
                <w:sz w:val="20"/>
                <w:szCs w:val="20"/>
                <w:lang w:val="es-CL" w:eastAsia="es-CL"/>
              </w:rPr>
              <w:t>Monitoreo y evaluación</w:t>
            </w:r>
          </w:p>
        </w:tc>
        <w:tc>
          <w:tcPr>
            <w:tcW w:w="0" w:type="auto"/>
            <w:hideMark/>
          </w:tcPr>
          <w:p w14:paraId="5685A24F"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r w:rsidRPr="001C6457">
              <w:rPr>
                <w:rFonts w:asciiTheme="minorHAnsi" w:eastAsia="Times New Roman" w:hAnsiTheme="minorHAnsi" w:cstheme="minorHAnsi"/>
                <w:color w:val="000000" w:themeColor="text1"/>
                <w:sz w:val="20"/>
                <w:szCs w:val="20"/>
                <w:lang w:val="es-CL" w:eastAsia="es-CL"/>
              </w:rPr>
              <w:t>Sobrevivencia, regeneración y cobertura vegetal</w:t>
            </w:r>
          </w:p>
        </w:tc>
        <w:tc>
          <w:tcPr>
            <w:tcW w:w="0" w:type="auto"/>
            <w:hideMark/>
          </w:tcPr>
          <w:p w14:paraId="5FB096FA"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149CCC57"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5E57DF13"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6C15C1F4"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19BE969E"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r w:rsidRPr="001C6457">
              <w:rPr>
                <w:rFonts w:asciiTheme="minorHAnsi" w:eastAsia="Times New Roman" w:hAnsiTheme="minorHAnsi" w:cstheme="minorHAnsi"/>
                <w:color w:val="000000" w:themeColor="text1"/>
                <w:sz w:val="20"/>
                <w:szCs w:val="20"/>
                <w:lang w:val="es-CL" w:eastAsia="es-CL"/>
              </w:rPr>
              <w:t>X</w:t>
            </w:r>
          </w:p>
        </w:tc>
        <w:tc>
          <w:tcPr>
            <w:tcW w:w="0" w:type="auto"/>
            <w:hideMark/>
          </w:tcPr>
          <w:p w14:paraId="3FA4F14F"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r w:rsidRPr="001C6457">
              <w:rPr>
                <w:rFonts w:asciiTheme="minorHAnsi" w:eastAsia="Times New Roman" w:hAnsiTheme="minorHAnsi" w:cstheme="minorHAnsi"/>
                <w:color w:val="000000" w:themeColor="text1"/>
                <w:sz w:val="20"/>
                <w:szCs w:val="20"/>
                <w:lang w:val="es-CL" w:eastAsia="es-CL"/>
              </w:rPr>
              <w:t>X</w:t>
            </w:r>
          </w:p>
        </w:tc>
        <w:tc>
          <w:tcPr>
            <w:tcW w:w="0" w:type="auto"/>
            <w:hideMark/>
          </w:tcPr>
          <w:p w14:paraId="35CA293C"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r w:rsidRPr="001C6457">
              <w:rPr>
                <w:rFonts w:asciiTheme="minorHAnsi" w:eastAsia="Times New Roman" w:hAnsiTheme="minorHAnsi" w:cstheme="minorHAnsi"/>
                <w:color w:val="000000" w:themeColor="text1"/>
                <w:sz w:val="20"/>
                <w:szCs w:val="20"/>
                <w:lang w:val="es-CL" w:eastAsia="es-CL"/>
              </w:rPr>
              <w:t>X</w:t>
            </w:r>
          </w:p>
        </w:tc>
        <w:tc>
          <w:tcPr>
            <w:tcW w:w="0" w:type="auto"/>
            <w:hideMark/>
          </w:tcPr>
          <w:p w14:paraId="279CABDB"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r w:rsidRPr="001C6457">
              <w:rPr>
                <w:rFonts w:asciiTheme="minorHAnsi" w:eastAsia="Times New Roman" w:hAnsiTheme="minorHAnsi" w:cstheme="minorHAnsi"/>
                <w:color w:val="000000" w:themeColor="text1"/>
                <w:sz w:val="20"/>
                <w:szCs w:val="20"/>
                <w:lang w:val="es-CL" w:eastAsia="es-CL"/>
              </w:rPr>
              <w:t>X</w:t>
            </w:r>
          </w:p>
        </w:tc>
      </w:tr>
      <w:tr w:rsidR="001C6457" w:rsidRPr="001C6457" w14:paraId="626196D5" w14:textId="77777777" w:rsidTr="001C6457">
        <w:tc>
          <w:tcPr>
            <w:tcW w:w="0" w:type="auto"/>
            <w:hideMark/>
          </w:tcPr>
          <w:p w14:paraId="16295859"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r w:rsidRPr="001C6457">
              <w:rPr>
                <w:rFonts w:asciiTheme="minorHAnsi" w:eastAsia="Times New Roman" w:hAnsiTheme="minorHAnsi" w:cstheme="minorHAnsi"/>
                <w:b/>
                <w:bCs/>
                <w:color w:val="000000" w:themeColor="text1"/>
                <w:sz w:val="20"/>
                <w:szCs w:val="20"/>
                <w:lang w:val="es-CL" w:eastAsia="es-CL"/>
              </w:rPr>
              <w:t>Manejo adaptativo</w:t>
            </w:r>
          </w:p>
        </w:tc>
        <w:tc>
          <w:tcPr>
            <w:tcW w:w="0" w:type="auto"/>
            <w:hideMark/>
          </w:tcPr>
          <w:p w14:paraId="4B2F155D"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r w:rsidRPr="001C6457">
              <w:rPr>
                <w:rFonts w:asciiTheme="minorHAnsi" w:eastAsia="Times New Roman" w:hAnsiTheme="minorHAnsi" w:cstheme="minorHAnsi"/>
                <w:color w:val="000000" w:themeColor="text1"/>
                <w:sz w:val="20"/>
                <w:szCs w:val="20"/>
                <w:lang w:val="es-CL" w:eastAsia="es-CL"/>
              </w:rPr>
              <w:t>Ajustes según resultados del monitoreo</w:t>
            </w:r>
          </w:p>
        </w:tc>
        <w:tc>
          <w:tcPr>
            <w:tcW w:w="0" w:type="auto"/>
            <w:hideMark/>
          </w:tcPr>
          <w:p w14:paraId="6853721D"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644DC0DD"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15ECC191"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36CAA501"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1728DC3A"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p>
        </w:tc>
        <w:tc>
          <w:tcPr>
            <w:tcW w:w="0" w:type="auto"/>
            <w:hideMark/>
          </w:tcPr>
          <w:p w14:paraId="15954DC7"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r w:rsidRPr="001C6457">
              <w:rPr>
                <w:rFonts w:asciiTheme="minorHAnsi" w:eastAsia="Times New Roman" w:hAnsiTheme="minorHAnsi" w:cstheme="minorHAnsi"/>
                <w:color w:val="000000" w:themeColor="text1"/>
                <w:sz w:val="20"/>
                <w:szCs w:val="20"/>
                <w:lang w:val="es-CL" w:eastAsia="es-CL"/>
              </w:rPr>
              <w:t>X</w:t>
            </w:r>
          </w:p>
        </w:tc>
        <w:tc>
          <w:tcPr>
            <w:tcW w:w="0" w:type="auto"/>
            <w:hideMark/>
          </w:tcPr>
          <w:p w14:paraId="1BD58152"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r w:rsidRPr="001C6457">
              <w:rPr>
                <w:rFonts w:asciiTheme="minorHAnsi" w:eastAsia="Times New Roman" w:hAnsiTheme="minorHAnsi" w:cstheme="minorHAnsi"/>
                <w:color w:val="000000" w:themeColor="text1"/>
                <w:sz w:val="20"/>
                <w:szCs w:val="20"/>
                <w:lang w:val="es-CL" w:eastAsia="es-CL"/>
              </w:rPr>
              <w:t>X</w:t>
            </w:r>
          </w:p>
        </w:tc>
        <w:tc>
          <w:tcPr>
            <w:tcW w:w="0" w:type="auto"/>
            <w:hideMark/>
          </w:tcPr>
          <w:p w14:paraId="68CED8D7" w14:textId="77777777" w:rsidR="001C6457" w:rsidRPr="001C6457" w:rsidRDefault="001C6457" w:rsidP="001C6457">
            <w:pPr>
              <w:widowControl/>
              <w:autoSpaceDE/>
              <w:autoSpaceDN/>
              <w:rPr>
                <w:rFonts w:asciiTheme="minorHAnsi" w:eastAsia="Times New Roman" w:hAnsiTheme="minorHAnsi" w:cstheme="minorHAnsi"/>
                <w:color w:val="000000" w:themeColor="text1"/>
                <w:sz w:val="20"/>
                <w:szCs w:val="20"/>
                <w:lang w:val="es-CL" w:eastAsia="es-CL"/>
              </w:rPr>
            </w:pPr>
            <w:r w:rsidRPr="001C6457">
              <w:rPr>
                <w:rFonts w:asciiTheme="minorHAnsi" w:eastAsia="Times New Roman" w:hAnsiTheme="minorHAnsi" w:cstheme="minorHAnsi"/>
                <w:color w:val="000000" w:themeColor="text1"/>
                <w:sz w:val="20"/>
                <w:szCs w:val="20"/>
                <w:lang w:val="es-CL" w:eastAsia="es-CL"/>
              </w:rPr>
              <w:t>X</w:t>
            </w:r>
          </w:p>
        </w:tc>
      </w:tr>
    </w:tbl>
    <w:p w14:paraId="103B3D65" w14:textId="4D7CDDD9" w:rsidR="00C56643" w:rsidRDefault="00C56643" w:rsidP="00C56643">
      <w:pPr>
        <w:pStyle w:val="Ttulo3"/>
      </w:pPr>
      <w:r>
        <w:t xml:space="preserve">    </w:t>
      </w:r>
      <w:bookmarkStart w:id="9" w:name="_Toc225274123"/>
      <w:r w:rsidR="008F41A3" w:rsidRPr="008F41A3">
        <w:t>2.3</w:t>
      </w:r>
      <w:r>
        <w:t xml:space="preserve"> </w:t>
      </w:r>
      <w:r w:rsidR="008F41A3" w:rsidRPr="008F41A3">
        <w:t>Conclusiones del Anteproyecto y Recomendaciones</w:t>
      </w:r>
      <w:bookmarkEnd w:id="9"/>
    </w:p>
    <w:p w14:paraId="1EBCEF30" w14:textId="77777777" w:rsidR="00C56643" w:rsidRPr="00C56643" w:rsidRDefault="00C56643" w:rsidP="00C56643"/>
    <w:p w14:paraId="61759A8A" w14:textId="50921BA4" w:rsidR="001C6457" w:rsidRPr="001C6457" w:rsidRDefault="001C6457" w:rsidP="001C6457">
      <w:pPr>
        <w:spacing w:line="360" w:lineRule="auto"/>
        <w:jc w:val="both"/>
        <w:rPr>
          <w:color w:val="000000" w:themeColor="text1"/>
          <w:lang w:val="es-CL"/>
        </w:rPr>
      </w:pPr>
      <w:r w:rsidRPr="001C6457">
        <w:rPr>
          <w:color w:val="000000" w:themeColor="text1"/>
          <w:lang w:val="es-CL"/>
        </w:rPr>
        <w:t xml:space="preserve">El anteproyecto evidenció que la problemática central del predio se origina en una falta de integración entre la actividad ganadera y la conservación del bosque nativo, lo que se traduce en procesos de degradación, disminución de la regeneración natural y pérdida de funcionalidad </w:t>
      </w:r>
      <w:r w:rsidRPr="001C6457">
        <w:rPr>
          <w:color w:val="000000" w:themeColor="text1"/>
          <w:lang w:val="es-CL"/>
        </w:rPr>
        <w:lastRenderedPageBreak/>
        <w:t>ecológica. Este escenario se ve reforzado por una gestión productiva orientada principalmente a criterios económicos, lo que limita la implementación de acciones de restauración que no generen beneficios directos en el corto plazo.</w:t>
      </w:r>
    </w:p>
    <w:p w14:paraId="3012E461" w14:textId="77777777" w:rsidR="001C6457" w:rsidRPr="001C6457" w:rsidRDefault="001C6457" w:rsidP="001C6457">
      <w:pPr>
        <w:spacing w:line="360" w:lineRule="auto"/>
        <w:jc w:val="both"/>
        <w:rPr>
          <w:color w:val="000000" w:themeColor="text1"/>
          <w:lang w:val="es-CL"/>
        </w:rPr>
      </w:pPr>
      <w:r w:rsidRPr="001C6457">
        <w:rPr>
          <w:color w:val="000000" w:themeColor="text1"/>
          <w:lang w:val="es-CL"/>
        </w:rPr>
        <w:t>Adicionalmente, el análisis del vivero mostró una disponibilidad de especies nativas concentrada en pocas especies, lo que representa una limitante para desarrollar estrategias de restauración más diversas y ecológicamente funcionales. Esta situación evidencia una brecha entre la oferta de plantas y los requerimientos reales del ecosistema a restaurar.</w:t>
      </w:r>
    </w:p>
    <w:p w14:paraId="4E7F72BC" w14:textId="77777777" w:rsidR="001C6457" w:rsidRPr="001C6457" w:rsidRDefault="001C6457" w:rsidP="001C6457">
      <w:pPr>
        <w:spacing w:line="360" w:lineRule="auto"/>
        <w:jc w:val="both"/>
        <w:rPr>
          <w:color w:val="000000" w:themeColor="text1"/>
          <w:lang w:val="es-CL"/>
        </w:rPr>
      </w:pPr>
      <w:r w:rsidRPr="001C6457">
        <w:rPr>
          <w:color w:val="000000" w:themeColor="text1"/>
          <w:lang w:val="es-CL"/>
        </w:rPr>
        <w:t>A partir de estos hallazgos, se concluye que la restauración ecológica en el predio no puede abordarse de manera aislada, sino que requiere un enfoque integrado que incorpore variables productivas, ecológicas y sociales. En este contexto, los sistemas silvopastoriles surgen como una alternativa pertinente, al permitir compatibilizar la actividad ganadera con la recuperación del bosque nativo.</w:t>
      </w:r>
    </w:p>
    <w:p w14:paraId="5853F229" w14:textId="77777777" w:rsidR="001C6457" w:rsidRPr="001C6457" w:rsidRDefault="001C6457" w:rsidP="001C6457">
      <w:pPr>
        <w:spacing w:line="360" w:lineRule="auto"/>
        <w:jc w:val="both"/>
        <w:rPr>
          <w:color w:val="000000" w:themeColor="text1"/>
          <w:lang w:val="es-CL"/>
        </w:rPr>
      </w:pPr>
      <w:r w:rsidRPr="001C6457">
        <w:rPr>
          <w:color w:val="000000" w:themeColor="text1"/>
          <w:lang w:val="es-CL"/>
        </w:rPr>
        <w:t>En función de lo anterior, se recomienda a la Fundación Alerce 3000: (i) diversificar la producción de especies nativas en vivero, priorizando aquellas con funciones ecológicas complementarias; (</w:t>
      </w:r>
      <w:proofErr w:type="spellStart"/>
      <w:r w:rsidRPr="001C6457">
        <w:rPr>
          <w:color w:val="000000" w:themeColor="text1"/>
          <w:lang w:val="es-CL"/>
        </w:rPr>
        <w:t>ii</w:t>
      </w:r>
      <w:proofErr w:type="spellEnd"/>
      <w:r w:rsidRPr="001C6457">
        <w:rPr>
          <w:color w:val="000000" w:themeColor="text1"/>
          <w:lang w:val="es-CL"/>
        </w:rPr>
        <w:t>) promover la implementación de sistemas silvopastoriles mediante acompañamiento técnico a productores; (</w:t>
      </w:r>
      <w:proofErr w:type="spellStart"/>
      <w:r w:rsidRPr="001C6457">
        <w:rPr>
          <w:color w:val="000000" w:themeColor="text1"/>
          <w:lang w:val="es-CL"/>
        </w:rPr>
        <w:t>iii</w:t>
      </w:r>
      <w:proofErr w:type="spellEnd"/>
      <w:r w:rsidRPr="001C6457">
        <w:rPr>
          <w:color w:val="000000" w:themeColor="text1"/>
          <w:lang w:val="es-CL"/>
        </w:rPr>
        <w:t>) incorporar herramientas de planificación predial como la zonificación del territorio y el ajuste de carga ganadera; y (</w:t>
      </w:r>
      <w:proofErr w:type="spellStart"/>
      <w:r w:rsidRPr="001C6457">
        <w:rPr>
          <w:color w:val="000000" w:themeColor="text1"/>
          <w:lang w:val="es-CL"/>
        </w:rPr>
        <w:t>iv</w:t>
      </w:r>
      <w:proofErr w:type="spellEnd"/>
      <w:r w:rsidRPr="001C6457">
        <w:rPr>
          <w:color w:val="000000" w:themeColor="text1"/>
          <w:lang w:val="es-CL"/>
        </w:rPr>
        <w:t>) fortalecer el monitoreo de las intervenciones, incorporando indicadores ecológicos que permitan evaluar su efectividad.</w:t>
      </w:r>
    </w:p>
    <w:p w14:paraId="207F2B9B" w14:textId="04EE25D5" w:rsidR="001C6457" w:rsidRPr="008F41A3" w:rsidRDefault="001C6457" w:rsidP="008F41A3">
      <w:pPr>
        <w:spacing w:line="360" w:lineRule="auto"/>
        <w:jc w:val="both"/>
        <w:rPr>
          <w:color w:val="000000" w:themeColor="text1"/>
          <w:lang w:val="es-CL"/>
        </w:rPr>
      </w:pPr>
      <w:r w:rsidRPr="001C6457">
        <w:rPr>
          <w:color w:val="000000" w:themeColor="text1"/>
          <w:lang w:val="es-CL"/>
        </w:rPr>
        <w:t>Finalmente, se recomienda avanzar en la incorporación de incentivos económicos asociados a la restauración, con el fin de aumentar la adopción de prácticas sostenibles. En conjunto, estas acciones permitirían transitar hacia sistemas productivos más equilibrados, resilientes y coherentes con la conservación del bosque nativo.</w:t>
      </w:r>
    </w:p>
    <w:p w14:paraId="711254B5" w14:textId="3EED4A7B" w:rsidR="001C6457" w:rsidRPr="00C56643" w:rsidRDefault="008F41A3" w:rsidP="001C6457">
      <w:pPr>
        <w:pStyle w:val="Ttulo2"/>
      </w:pPr>
      <w:bookmarkStart w:id="10" w:name="_Toc225274124"/>
      <w:r w:rsidRPr="008F41A3">
        <w:t>Reflexión final</w:t>
      </w:r>
      <w:bookmarkEnd w:id="10"/>
      <w:r w:rsidRPr="008F41A3">
        <w:t xml:space="preserve"> </w:t>
      </w:r>
    </w:p>
    <w:p w14:paraId="1F5E6218" w14:textId="10463956" w:rsidR="001C6457" w:rsidRPr="001C6457" w:rsidRDefault="001C6457" w:rsidP="001C6457">
      <w:pPr>
        <w:spacing w:line="360" w:lineRule="auto"/>
        <w:jc w:val="both"/>
        <w:rPr>
          <w:color w:val="000000" w:themeColor="text1"/>
          <w:lang w:val="es-CL"/>
        </w:rPr>
      </w:pPr>
      <w:r w:rsidRPr="001C6457">
        <w:rPr>
          <w:color w:val="000000" w:themeColor="text1"/>
          <w:lang w:val="es-CL"/>
        </w:rPr>
        <w:t>La práctica profesional desarrollada en la Fundación Alerce 3000 permitió una comprensión integral de los desafíos asociados a la restauración ecológica en contextos productivos reales, particularmente en sistemas ganaderos del sur de Chile. A través de la participación en actividades de terreno, vivero y análisis técnico, fue posible vincular conocimientos teóricos adquiridos durante la formación académica con su aplicación práctica, evidenciando la complejidad de los procesos de toma de decisiones en contextos rurales.</w:t>
      </w:r>
    </w:p>
    <w:p w14:paraId="4BED477E" w14:textId="77777777" w:rsidR="001C6457" w:rsidRPr="001C6457" w:rsidRDefault="001C6457" w:rsidP="001C6457">
      <w:pPr>
        <w:spacing w:line="360" w:lineRule="auto"/>
        <w:jc w:val="both"/>
        <w:rPr>
          <w:color w:val="000000" w:themeColor="text1"/>
          <w:lang w:val="es-CL"/>
        </w:rPr>
      </w:pPr>
      <w:r w:rsidRPr="001C6457">
        <w:rPr>
          <w:color w:val="000000" w:themeColor="text1"/>
          <w:lang w:val="es-CL"/>
        </w:rPr>
        <w:t xml:space="preserve">Uno de los principales aprendizajes fue comprender que la restauración ecológica no puede abordarse únicamente desde una perspectiva ambiental, sino que requiere integrar dimensiones productivas, económicas y sociales. En este sentido, el desarrollo del anteproyecto permitió </w:t>
      </w:r>
      <w:r w:rsidRPr="001C6457">
        <w:rPr>
          <w:color w:val="000000" w:themeColor="text1"/>
          <w:lang w:val="es-CL"/>
        </w:rPr>
        <w:lastRenderedPageBreak/>
        <w:t>profundizar en la necesidad de generar propuestas viables para los actores locales, considerando sus limitaciones y motivaciones, lo que constituye un desafío relevante para la gestión sostenible del territorio.</w:t>
      </w:r>
    </w:p>
    <w:p w14:paraId="7130462C" w14:textId="77777777" w:rsidR="001C6457" w:rsidRPr="001C6457" w:rsidRDefault="001C6457" w:rsidP="001C6457">
      <w:pPr>
        <w:spacing w:line="360" w:lineRule="auto"/>
        <w:jc w:val="both"/>
        <w:rPr>
          <w:color w:val="000000" w:themeColor="text1"/>
          <w:lang w:val="es-CL"/>
        </w:rPr>
      </w:pPr>
      <w:r w:rsidRPr="001C6457">
        <w:rPr>
          <w:color w:val="000000" w:themeColor="text1"/>
          <w:lang w:val="es-CL"/>
        </w:rPr>
        <w:t>Asimismo, la experiencia en terreno evidenció la importancia del trabajo interdisciplinario y la comunicación efectiva dentro de los equipos, destacando el valor de una estructura horizontal que facilita el aprendizaje colaborativo. La interacción directa con profesionales, practicantes y residentes locales permitió fortalecer habilidades blandas como la adaptabilidad, el trabajo en equipo y la capacidad de análisis crítico.</w:t>
      </w:r>
    </w:p>
    <w:p w14:paraId="11BF8628" w14:textId="77777777" w:rsidR="001C6457" w:rsidRPr="001C6457" w:rsidRDefault="001C6457" w:rsidP="001C6457">
      <w:pPr>
        <w:spacing w:line="360" w:lineRule="auto"/>
        <w:jc w:val="both"/>
        <w:rPr>
          <w:color w:val="000000" w:themeColor="text1"/>
          <w:lang w:val="es-CL"/>
        </w:rPr>
      </w:pPr>
      <w:r w:rsidRPr="001C6457">
        <w:rPr>
          <w:color w:val="000000" w:themeColor="text1"/>
          <w:lang w:val="es-CL"/>
        </w:rPr>
        <w:t>Entre los principales desafíos enfrentados, destaca la necesidad de traducir conceptos técnicos en propuestas aplicables en contextos reales, así como la gestión de información diversa para la elaboración del diagnóstico y diseño de soluciones. Estos desafíos contribuyeron significativamente al desarrollo de competencias profesionales.</w:t>
      </w:r>
    </w:p>
    <w:p w14:paraId="739AAF5B" w14:textId="674893FF" w:rsidR="001C6457" w:rsidRDefault="001C6457" w:rsidP="008F41A3">
      <w:pPr>
        <w:spacing w:line="360" w:lineRule="auto"/>
        <w:jc w:val="both"/>
        <w:rPr>
          <w:color w:val="000000" w:themeColor="text1"/>
          <w:lang w:val="es-CL"/>
        </w:rPr>
      </w:pPr>
      <w:r w:rsidRPr="001C6457">
        <w:rPr>
          <w:color w:val="000000" w:themeColor="text1"/>
          <w:lang w:val="es-CL"/>
        </w:rPr>
        <w:t>Finalmente, esta experiencia reafirma la importancia de avanzar hacia modelos productivos que integren conservación y desarrollo, posicionando la restauración ecológica como una herramienta clave para la sostenibilidad. La práctica no solo permitió consolidar conocimientos, sino también proyectar el rol profesional hacia la generación de soluciones innovadoras y contextualizadas en el ámbito agroforestal.</w:t>
      </w:r>
    </w:p>
    <w:p w14:paraId="2C446817" w14:textId="77777777" w:rsidR="0036240B" w:rsidRDefault="0036240B" w:rsidP="008F41A3">
      <w:pPr>
        <w:spacing w:line="360" w:lineRule="auto"/>
        <w:jc w:val="both"/>
        <w:rPr>
          <w:color w:val="000000" w:themeColor="text1"/>
          <w:lang w:val="es-CL"/>
        </w:rPr>
      </w:pPr>
    </w:p>
    <w:p w14:paraId="1B60CEFC" w14:textId="77777777" w:rsidR="0036240B" w:rsidRDefault="0036240B" w:rsidP="008F41A3">
      <w:pPr>
        <w:spacing w:line="360" w:lineRule="auto"/>
        <w:jc w:val="both"/>
        <w:rPr>
          <w:color w:val="000000" w:themeColor="text1"/>
          <w:lang w:val="es-CL"/>
        </w:rPr>
      </w:pPr>
    </w:p>
    <w:p w14:paraId="5A0A733D" w14:textId="77777777" w:rsidR="00DA0BD2" w:rsidRDefault="00DA0BD2" w:rsidP="008F41A3">
      <w:pPr>
        <w:spacing w:line="360" w:lineRule="auto"/>
        <w:jc w:val="both"/>
        <w:rPr>
          <w:color w:val="000000" w:themeColor="text1"/>
          <w:lang w:val="es-CL"/>
        </w:rPr>
      </w:pPr>
    </w:p>
    <w:p w14:paraId="6B3869E9" w14:textId="77777777" w:rsidR="00DA0BD2" w:rsidRDefault="00DA0BD2" w:rsidP="008F41A3">
      <w:pPr>
        <w:spacing w:line="360" w:lineRule="auto"/>
        <w:jc w:val="both"/>
        <w:rPr>
          <w:color w:val="000000" w:themeColor="text1"/>
          <w:lang w:val="es-CL"/>
        </w:rPr>
      </w:pPr>
    </w:p>
    <w:p w14:paraId="44268952" w14:textId="77777777" w:rsidR="00DA0BD2" w:rsidRDefault="00DA0BD2" w:rsidP="008F41A3">
      <w:pPr>
        <w:spacing w:line="360" w:lineRule="auto"/>
        <w:jc w:val="both"/>
        <w:rPr>
          <w:color w:val="000000" w:themeColor="text1"/>
          <w:lang w:val="es-CL"/>
        </w:rPr>
      </w:pPr>
    </w:p>
    <w:p w14:paraId="5A9FFD01" w14:textId="77777777" w:rsidR="00DA0BD2" w:rsidRDefault="00DA0BD2" w:rsidP="008F41A3">
      <w:pPr>
        <w:spacing w:line="360" w:lineRule="auto"/>
        <w:jc w:val="both"/>
        <w:rPr>
          <w:color w:val="000000" w:themeColor="text1"/>
          <w:lang w:val="es-CL"/>
        </w:rPr>
      </w:pPr>
    </w:p>
    <w:p w14:paraId="6739AA48" w14:textId="77777777" w:rsidR="00DA0BD2" w:rsidRDefault="00DA0BD2" w:rsidP="008F41A3">
      <w:pPr>
        <w:spacing w:line="360" w:lineRule="auto"/>
        <w:jc w:val="both"/>
        <w:rPr>
          <w:color w:val="000000" w:themeColor="text1"/>
          <w:lang w:val="es-CL"/>
        </w:rPr>
      </w:pPr>
    </w:p>
    <w:p w14:paraId="6D83CE1C" w14:textId="77777777" w:rsidR="00DA0BD2" w:rsidRDefault="00DA0BD2" w:rsidP="008F41A3">
      <w:pPr>
        <w:spacing w:line="360" w:lineRule="auto"/>
        <w:jc w:val="both"/>
        <w:rPr>
          <w:color w:val="000000" w:themeColor="text1"/>
          <w:lang w:val="es-CL"/>
        </w:rPr>
      </w:pPr>
    </w:p>
    <w:p w14:paraId="7BFA1560" w14:textId="77777777" w:rsidR="00DA0BD2" w:rsidRDefault="00DA0BD2" w:rsidP="008F41A3">
      <w:pPr>
        <w:spacing w:line="360" w:lineRule="auto"/>
        <w:jc w:val="both"/>
        <w:rPr>
          <w:color w:val="000000" w:themeColor="text1"/>
          <w:lang w:val="es-CL"/>
        </w:rPr>
      </w:pPr>
    </w:p>
    <w:p w14:paraId="29763AAB" w14:textId="77777777" w:rsidR="00DA0BD2" w:rsidRDefault="00DA0BD2" w:rsidP="008F41A3">
      <w:pPr>
        <w:spacing w:line="360" w:lineRule="auto"/>
        <w:jc w:val="both"/>
        <w:rPr>
          <w:color w:val="000000" w:themeColor="text1"/>
          <w:lang w:val="es-CL"/>
        </w:rPr>
      </w:pPr>
    </w:p>
    <w:p w14:paraId="48576A1A" w14:textId="77777777" w:rsidR="00DA0BD2" w:rsidRDefault="00DA0BD2" w:rsidP="008F41A3">
      <w:pPr>
        <w:spacing w:line="360" w:lineRule="auto"/>
        <w:jc w:val="both"/>
        <w:rPr>
          <w:color w:val="000000" w:themeColor="text1"/>
          <w:lang w:val="es-CL"/>
        </w:rPr>
      </w:pPr>
    </w:p>
    <w:p w14:paraId="5A232B67" w14:textId="77777777" w:rsidR="00DA0BD2" w:rsidRDefault="00DA0BD2" w:rsidP="008F41A3">
      <w:pPr>
        <w:spacing w:line="360" w:lineRule="auto"/>
        <w:jc w:val="both"/>
        <w:rPr>
          <w:color w:val="000000" w:themeColor="text1"/>
          <w:lang w:val="es-CL"/>
        </w:rPr>
      </w:pPr>
    </w:p>
    <w:p w14:paraId="7BBC790C" w14:textId="77777777" w:rsidR="00DA0BD2" w:rsidRDefault="00DA0BD2" w:rsidP="008F41A3">
      <w:pPr>
        <w:spacing w:line="360" w:lineRule="auto"/>
        <w:jc w:val="both"/>
        <w:rPr>
          <w:color w:val="000000" w:themeColor="text1"/>
          <w:lang w:val="es-CL"/>
        </w:rPr>
      </w:pPr>
    </w:p>
    <w:p w14:paraId="32BBFE46" w14:textId="77777777" w:rsidR="00DA0BD2" w:rsidRDefault="00DA0BD2" w:rsidP="008F41A3">
      <w:pPr>
        <w:spacing w:line="360" w:lineRule="auto"/>
        <w:jc w:val="both"/>
        <w:rPr>
          <w:color w:val="000000" w:themeColor="text1"/>
          <w:lang w:val="es-CL"/>
        </w:rPr>
      </w:pPr>
    </w:p>
    <w:p w14:paraId="550AA196" w14:textId="77777777" w:rsidR="0036240B" w:rsidRDefault="0036240B" w:rsidP="008F41A3">
      <w:pPr>
        <w:spacing w:line="360" w:lineRule="auto"/>
        <w:jc w:val="both"/>
        <w:rPr>
          <w:color w:val="000000" w:themeColor="text1"/>
          <w:lang w:val="es-CL"/>
        </w:rPr>
      </w:pPr>
    </w:p>
    <w:p w14:paraId="421C9360" w14:textId="0EE46449" w:rsidR="008E7F09" w:rsidRPr="00710AD1" w:rsidRDefault="008E7F09" w:rsidP="00C56643">
      <w:pPr>
        <w:pStyle w:val="Ttulo1"/>
        <w:numPr>
          <w:ilvl w:val="0"/>
          <w:numId w:val="11"/>
        </w:numPr>
        <w:rPr>
          <w:lang w:val="es-CL"/>
        </w:rPr>
      </w:pPr>
      <w:bookmarkStart w:id="11" w:name="_Toc225274125"/>
      <w:r w:rsidRPr="00710AD1">
        <w:rPr>
          <w:lang w:val="es-CL"/>
        </w:rPr>
        <w:lastRenderedPageBreak/>
        <w:t>Bibliografía</w:t>
      </w:r>
      <w:bookmarkEnd w:id="11"/>
    </w:p>
    <w:p w14:paraId="408BA22B" w14:textId="77777777" w:rsidR="00C56643" w:rsidRPr="00BD178A" w:rsidRDefault="00C56643" w:rsidP="00C56643">
      <w:pPr>
        <w:spacing w:line="360" w:lineRule="auto"/>
        <w:jc w:val="both"/>
        <w:rPr>
          <w:color w:val="000000" w:themeColor="text1"/>
          <w:lang w:val="es-CL"/>
        </w:rPr>
      </w:pPr>
    </w:p>
    <w:p w14:paraId="44BEA673" w14:textId="77777777" w:rsidR="008E3B41" w:rsidRPr="008E3B41" w:rsidRDefault="008E3B41" w:rsidP="008E3B41">
      <w:pPr>
        <w:spacing w:line="360" w:lineRule="auto"/>
        <w:jc w:val="both"/>
        <w:rPr>
          <w:color w:val="000000" w:themeColor="text1"/>
          <w:lang w:val="es-CL"/>
        </w:rPr>
      </w:pPr>
      <w:r w:rsidRPr="008E3B41">
        <w:rPr>
          <w:b/>
          <w:bCs/>
          <w:color w:val="000000" w:themeColor="text1"/>
          <w:lang w:val="en-US"/>
        </w:rPr>
        <w:t>Altieri, M. A., &amp; Nicholls, C. I. (2017).</w:t>
      </w:r>
      <w:r w:rsidRPr="008E3B41">
        <w:rPr>
          <w:color w:val="000000" w:themeColor="text1"/>
          <w:lang w:val="en-US"/>
        </w:rPr>
        <w:t xml:space="preserve"> </w:t>
      </w:r>
      <w:r w:rsidRPr="008E3B41">
        <w:rPr>
          <w:i/>
          <w:iCs/>
          <w:color w:val="000000" w:themeColor="text1"/>
          <w:lang w:val="es-CL"/>
        </w:rPr>
        <w:t>Agroecología: bases científicas para una agricultura sustentable</w:t>
      </w:r>
      <w:r w:rsidRPr="008E3B41">
        <w:rPr>
          <w:color w:val="000000" w:themeColor="text1"/>
          <w:lang w:val="es-CL"/>
        </w:rPr>
        <w:t>. Editorial Nordan-Comunidad.</w:t>
      </w:r>
    </w:p>
    <w:p w14:paraId="61045381" w14:textId="3FF341B4" w:rsidR="008E3B41" w:rsidRPr="008E3B41" w:rsidRDefault="008E3B41" w:rsidP="008E3B41">
      <w:pPr>
        <w:spacing w:line="360" w:lineRule="auto"/>
        <w:jc w:val="both"/>
        <w:rPr>
          <w:color w:val="000000" w:themeColor="text1"/>
          <w:lang w:val="en-US"/>
        </w:rPr>
      </w:pPr>
      <w:r w:rsidRPr="008E3B41">
        <w:rPr>
          <w:b/>
          <w:bCs/>
          <w:color w:val="000000" w:themeColor="text1"/>
          <w:lang w:val="es-CL"/>
        </w:rPr>
        <w:t>Corporación Nacional Forestal (CONAF). (2020).</w:t>
      </w:r>
      <w:r w:rsidRPr="008E3B41">
        <w:rPr>
          <w:color w:val="000000" w:themeColor="text1"/>
          <w:lang w:val="es-CL"/>
        </w:rPr>
        <w:t xml:space="preserve"> </w:t>
      </w:r>
      <w:r w:rsidRPr="008E3B41">
        <w:rPr>
          <w:i/>
          <w:iCs/>
          <w:color w:val="000000" w:themeColor="text1"/>
          <w:lang w:val="es-CL"/>
        </w:rPr>
        <w:t>Manual de manejo y restauración de bosque nativo en Chile</w:t>
      </w:r>
      <w:r w:rsidRPr="008E3B41">
        <w:rPr>
          <w:color w:val="000000" w:themeColor="text1"/>
          <w:lang w:val="es-CL"/>
        </w:rPr>
        <w:t xml:space="preserve">. </w:t>
      </w:r>
      <w:proofErr w:type="spellStart"/>
      <w:r w:rsidRPr="008E3B41">
        <w:rPr>
          <w:color w:val="000000" w:themeColor="text1"/>
          <w:lang w:val="en-US"/>
        </w:rPr>
        <w:t>Gobierno</w:t>
      </w:r>
      <w:proofErr w:type="spellEnd"/>
      <w:r w:rsidRPr="008E3B41">
        <w:rPr>
          <w:color w:val="000000" w:themeColor="text1"/>
          <w:lang w:val="en-US"/>
        </w:rPr>
        <w:t xml:space="preserve"> de Chile.</w:t>
      </w:r>
    </w:p>
    <w:p w14:paraId="7E0471DF" w14:textId="77777777" w:rsidR="008E3B41" w:rsidRPr="008E3B41" w:rsidRDefault="008E3B41" w:rsidP="008E3B41">
      <w:pPr>
        <w:spacing w:line="360" w:lineRule="auto"/>
        <w:jc w:val="both"/>
        <w:rPr>
          <w:color w:val="000000" w:themeColor="text1"/>
          <w:lang w:val="es-CL"/>
        </w:rPr>
      </w:pPr>
      <w:r w:rsidRPr="008E3B41">
        <w:rPr>
          <w:b/>
          <w:bCs/>
          <w:color w:val="000000" w:themeColor="text1"/>
          <w:lang w:val="en-US"/>
        </w:rPr>
        <w:t xml:space="preserve">Food and Agriculture Organization of the United Nations (FAO). </w:t>
      </w:r>
      <w:r w:rsidRPr="008E3B41">
        <w:rPr>
          <w:b/>
          <w:bCs/>
          <w:color w:val="000000" w:themeColor="text1"/>
          <w:lang w:val="es-CL"/>
        </w:rPr>
        <w:t>(2017).</w:t>
      </w:r>
      <w:r w:rsidRPr="008E3B41">
        <w:rPr>
          <w:color w:val="000000" w:themeColor="text1"/>
          <w:lang w:val="es-CL"/>
        </w:rPr>
        <w:t xml:space="preserve"> </w:t>
      </w:r>
      <w:r w:rsidRPr="008E3B41">
        <w:rPr>
          <w:i/>
          <w:iCs/>
          <w:color w:val="000000" w:themeColor="text1"/>
          <w:lang w:val="es-CL"/>
        </w:rPr>
        <w:t>Sistemas silvopastoriles: una alternativa para la sostenibilidad ganadera</w:t>
      </w:r>
      <w:r w:rsidRPr="008E3B41">
        <w:rPr>
          <w:color w:val="000000" w:themeColor="text1"/>
          <w:lang w:val="es-CL"/>
        </w:rPr>
        <w:t>. FAO.</w:t>
      </w:r>
    </w:p>
    <w:p w14:paraId="0B917B71" w14:textId="77777777" w:rsidR="008E3B41" w:rsidRPr="008E3B41" w:rsidRDefault="008E3B41" w:rsidP="008E3B41">
      <w:pPr>
        <w:spacing w:line="360" w:lineRule="auto"/>
        <w:jc w:val="both"/>
        <w:rPr>
          <w:color w:val="000000" w:themeColor="text1"/>
          <w:lang w:val="es-CL"/>
        </w:rPr>
      </w:pPr>
      <w:r w:rsidRPr="008E3B41">
        <w:rPr>
          <w:b/>
          <w:bCs/>
          <w:color w:val="000000" w:themeColor="text1"/>
          <w:lang w:val="es-CL"/>
        </w:rPr>
        <w:t>Gómez, J., Pérez, R., Muñoz, C., &amp; Silva, F. (2019).</w:t>
      </w:r>
      <w:r w:rsidRPr="008E3B41">
        <w:rPr>
          <w:color w:val="000000" w:themeColor="text1"/>
          <w:lang w:val="es-CL"/>
        </w:rPr>
        <w:t xml:space="preserve"> </w:t>
      </w:r>
      <w:r w:rsidRPr="008E3B41">
        <w:rPr>
          <w:i/>
          <w:iCs/>
          <w:color w:val="000000" w:themeColor="text1"/>
          <w:lang w:val="es-CL"/>
        </w:rPr>
        <w:t>Definición de umbrales de carga ganadera en ecosistemas forestales</w:t>
      </w:r>
      <w:r w:rsidRPr="008E3B41">
        <w:rPr>
          <w:color w:val="000000" w:themeColor="text1"/>
          <w:lang w:val="es-CL"/>
        </w:rPr>
        <w:t>. Instituto Forestal.</w:t>
      </w:r>
    </w:p>
    <w:p w14:paraId="6739423D" w14:textId="77777777" w:rsidR="008E3B41" w:rsidRPr="008E3B41" w:rsidRDefault="008E3B41" w:rsidP="008E3B41">
      <w:pPr>
        <w:spacing w:line="360" w:lineRule="auto"/>
        <w:jc w:val="both"/>
        <w:rPr>
          <w:color w:val="000000" w:themeColor="text1"/>
          <w:lang w:val="es-CL"/>
        </w:rPr>
      </w:pPr>
      <w:r w:rsidRPr="008E3B41">
        <w:rPr>
          <w:b/>
          <w:bCs/>
          <w:color w:val="000000" w:themeColor="text1"/>
          <w:lang w:val="es-CL"/>
        </w:rPr>
        <w:t>González, M., Salinas, J., &amp; Montenegro, J. (2020).</w:t>
      </w:r>
      <w:r w:rsidRPr="008E3B41">
        <w:rPr>
          <w:color w:val="000000" w:themeColor="text1"/>
          <w:lang w:val="es-CL"/>
        </w:rPr>
        <w:t xml:space="preserve"> </w:t>
      </w:r>
      <w:r w:rsidRPr="008E3B41">
        <w:rPr>
          <w:i/>
          <w:iCs/>
          <w:color w:val="000000" w:themeColor="text1"/>
          <w:lang w:val="es-CL"/>
        </w:rPr>
        <w:t xml:space="preserve">Sistemas </w:t>
      </w:r>
      <w:proofErr w:type="spellStart"/>
      <w:r w:rsidRPr="008E3B41">
        <w:rPr>
          <w:i/>
          <w:iCs/>
          <w:color w:val="000000" w:themeColor="text1"/>
          <w:lang w:val="es-CL"/>
        </w:rPr>
        <w:t>silvopastorales</w:t>
      </w:r>
      <w:proofErr w:type="spellEnd"/>
      <w:r w:rsidRPr="008E3B41">
        <w:rPr>
          <w:i/>
          <w:iCs/>
          <w:color w:val="000000" w:themeColor="text1"/>
          <w:lang w:val="es-CL"/>
        </w:rPr>
        <w:t xml:space="preserve"> en Chile: Generalidades y ejemplos</w:t>
      </w:r>
      <w:r w:rsidRPr="008E3B41">
        <w:rPr>
          <w:color w:val="000000" w:themeColor="text1"/>
          <w:lang w:val="es-CL"/>
        </w:rPr>
        <w:t xml:space="preserve"> (Manual N.º 58). Instituto Forestal.</w:t>
      </w:r>
    </w:p>
    <w:p w14:paraId="1AAF141A" w14:textId="77777777" w:rsidR="008E3B41" w:rsidRPr="008E3B41" w:rsidRDefault="008E3B41" w:rsidP="008E3B41">
      <w:pPr>
        <w:spacing w:line="360" w:lineRule="auto"/>
        <w:jc w:val="both"/>
        <w:rPr>
          <w:color w:val="000000" w:themeColor="text1"/>
          <w:lang w:val="es-CL"/>
        </w:rPr>
      </w:pPr>
      <w:r w:rsidRPr="008E3B41">
        <w:rPr>
          <w:b/>
          <w:bCs/>
          <w:color w:val="000000" w:themeColor="text1"/>
          <w:lang w:val="es-CL"/>
        </w:rPr>
        <w:t>Novoa, D., &amp; Rojas, M. (2014).</w:t>
      </w:r>
      <w:r w:rsidRPr="008E3B41">
        <w:rPr>
          <w:color w:val="000000" w:themeColor="text1"/>
          <w:lang w:val="es-CL"/>
        </w:rPr>
        <w:t xml:space="preserve"> </w:t>
      </w:r>
      <w:r w:rsidRPr="008E3B41">
        <w:rPr>
          <w:i/>
          <w:iCs/>
          <w:color w:val="000000" w:themeColor="text1"/>
          <w:lang w:val="es-CL"/>
        </w:rPr>
        <w:t>Análisis del mercado de bonos de carbono en Chile</w:t>
      </w:r>
      <w:r w:rsidRPr="008E3B41">
        <w:rPr>
          <w:color w:val="000000" w:themeColor="text1"/>
          <w:lang w:val="es-CL"/>
        </w:rPr>
        <w:t>. Universidad de Chile.</w:t>
      </w:r>
    </w:p>
    <w:p w14:paraId="49A2D92D" w14:textId="77777777" w:rsidR="008E3B41" w:rsidRPr="008E3B41" w:rsidRDefault="008E3B41" w:rsidP="008E3B41">
      <w:pPr>
        <w:spacing w:line="360" w:lineRule="auto"/>
        <w:jc w:val="both"/>
        <w:rPr>
          <w:color w:val="000000" w:themeColor="text1"/>
          <w:lang w:val="es-CL"/>
        </w:rPr>
      </w:pPr>
      <w:r w:rsidRPr="008E3B41">
        <w:rPr>
          <w:b/>
          <w:bCs/>
          <w:color w:val="000000" w:themeColor="text1"/>
          <w:lang w:val="es-CL"/>
        </w:rPr>
        <w:t>Sotomayor, A., Moya, I., &amp; Teuber, O. (2009).</w:t>
      </w:r>
      <w:r w:rsidRPr="008E3B41">
        <w:rPr>
          <w:color w:val="000000" w:themeColor="text1"/>
          <w:lang w:val="es-CL"/>
        </w:rPr>
        <w:t xml:space="preserve"> </w:t>
      </w:r>
      <w:r w:rsidRPr="008E3B41">
        <w:rPr>
          <w:i/>
          <w:iCs/>
          <w:color w:val="000000" w:themeColor="text1"/>
          <w:lang w:val="es-CL"/>
        </w:rPr>
        <w:t xml:space="preserve">Manual de establecimiento y manejo de sistemas </w:t>
      </w:r>
      <w:proofErr w:type="spellStart"/>
      <w:r w:rsidRPr="008E3B41">
        <w:rPr>
          <w:i/>
          <w:iCs/>
          <w:color w:val="000000" w:themeColor="text1"/>
          <w:lang w:val="es-CL"/>
        </w:rPr>
        <w:t>silvopastorales</w:t>
      </w:r>
      <w:proofErr w:type="spellEnd"/>
      <w:r w:rsidRPr="008E3B41">
        <w:rPr>
          <w:i/>
          <w:iCs/>
          <w:color w:val="000000" w:themeColor="text1"/>
          <w:lang w:val="es-CL"/>
        </w:rPr>
        <w:t xml:space="preserve"> en zonas patagónicas de Chile</w:t>
      </w:r>
      <w:r w:rsidRPr="008E3B41">
        <w:rPr>
          <w:color w:val="000000" w:themeColor="text1"/>
          <w:lang w:val="es-CL"/>
        </w:rPr>
        <w:t xml:space="preserve"> (Manual N.º 41). Instituto Forestal, Centro Agroforestal Patagónico.</w:t>
      </w:r>
    </w:p>
    <w:p w14:paraId="077261E0" w14:textId="77777777" w:rsidR="008E3B41" w:rsidRPr="008E3B41" w:rsidRDefault="008E3B41" w:rsidP="008E3B41">
      <w:pPr>
        <w:spacing w:line="360" w:lineRule="auto"/>
        <w:jc w:val="both"/>
        <w:rPr>
          <w:color w:val="000000" w:themeColor="text1"/>
          <w:lang w:val="es-CL"/>
        </w:rPr>
      </w:pPr>
      <w:r w:rsidRPr="008E3B41">
        <w:rPr>
          <w:b/>
          <w:bCs/>
          <w:color w:val="000000" w:themeColor="text1"/>
          <w:lang w:val="es-CL"/>
        </w:rPr>
        <w:t>Zamorano-Elgueta, C., Cayuela, L., González-Espinosa, M., Lara, A., &amp; Parra-Vázquez, M. R. (2012).</w:t>
      </w:r>
      <w:r w:rsidRPr="008E3B41">
        <w:rPr>
          <w:color w:val="000000" w:themeColor="text1"/>
          <w:lang w:val="es-CL"/>
        </w:rPr>
        <w:t xml:space="preserve"> </w:t>
      </w:r>
      <w:r w:rsidRPr="008E3B41">
        <w:rPr>
          <w:color w:val="000000" w:themeColor="text1"/>
          <w:lang w:val="en-US"/>
        </w:rPr>
        <w:t>Impacts of cattle on South American temperate forests: Challenges for the conservation of the endangered monkey puzzle tree (</w:t>
      </w:r>
      <w:r w:rsidRPr="008E3B41">
        <w:rPr>
          <w:i/>
          <w:iCs/>
          <w:color w:val="000000" w:themeColor="text1"/>
          <w:lang w:val="en-US"/>
        </w:rPr>
        <w:t xml:space="preserve">Araucaria </w:t>
      </w:r>
      <w:proofErr w:type="spellStart"/>
      <w:r w:rsidRPr="008E3B41">
        <w:rPr>
          <w:i/>
          <w:iCs/>
          <w:color w:val="000000" w:themeColor="text1"/>
          <w:lang w:val="en-US"/>
        </w:rPr>
        <w:t>araucana</w:t>
      </w:r>
      <w:proofErr w:type="spellEnd"/>
      <w:r w:rsidRPr="008E3B41">
        <w:rPr>
          <w:color w:val="000000" w:themeColor="text1"/>
          <w:lang w:val="en-US"/>
        </w:rPr>
        <w:t xml:space="preserve">) in Chile. </w:t>
      </w:r>
      <w:proofErr w:type="spellStart"/>
      <w:r w:rsidRPr="008E3B41">
        <w:rPr>
          <w:i/>
          <w:iCs/>
          <w:color w:val="000000" w:themeColor="text1"/>
          <w:lang w:val="es-CL"/>
        </w:rPr>
        <w:t>Biological</w:t>
      </w:r>
      <w:proofErr w:type="spellEnd"/>
      <w:r w:rsidRPr="008E3B41">
        <w:rPr>
          <w:i/>
          <w:iCs/>
          <w:color w:val="000000" w:themeColor="text1"/>
          <w:lang w:val="es-CL"/>
        </w:rPr>
        <w:t xml:space="preserve"> </w:t>
      </w:r>
      <w:proofErr w:type="spellStart"/>
      <w:r w:rsidRPr="008E3B41">
        <w:rPr>
          <w:i/>
          <w:iCs/>
          <w:color w:val="000000" w:themeColor="text1"/>
          <w:lang w:val="es-CL"/>
        </w:rPr>
        <w:t>Conservation</w:t>
      </w:r>
      <w:proofErr w:type="spellEnd"/>
      <w:r w:rsidRPr="008E3B41">
        <w:rPr>
          <w:i/>
          <w:iCs/>
          <w:color w:val="000000" w:themeColor="text1"/>
          <w:lang w:val="es-CL"/>
        </w:rPr>
        <w:t>, 152</w:t>
      </w:r>
      <w:r w:rsidRPr="008E3B41">
        <w:rPr>
          <w:color w:val="000000" w:themeColor="text1"/>
          <w:lang w:val="es-CL"/>
        </w:rPr>
        <w:t>, 110–118. https://doi.org/10.1016/j.biocon.2012.03.027</w:t>
      </w:r>
    </w:p>
    <w:p w14:paraId="7D45FB0F" w14:textId="3E89BA58" w:rsidR="00C56643" w:rsidRPr="00C56643" w:rsidRDefault="00C56643" w:rsidP="008E3B41">
      <w:pPr>
        <w:spacing w:line="360" w:lineRule="auto"/>
        <w:jc w:val="both"/>
        <w:rPr>
          <w:color w:val="000000" w:themeColor="text1"/>
          <w:lang w:val="en-US"/>
        </w:rPr>
      </w:pPr>
    </w:p>
    <w:sectPr w:rsidR="00C56643" w:rsidRPr="00C56643" w:rsidSect="00C56643">
      <w:pgSz w:w="12240" w:h="15840" w:code="1"/>
      <w:pgMar w:top="1417" w:right="1701" w:bottom="1417" w:left="170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9AED8" w14:textId="77777777" w:rsidR="002856C5" w:rsidRDefault="002856C5" w:rsidP="00C56643">
      <w:r>
        <w:separator/>
      </w:r>
    </w:p>
  </w:endnote>
  <w:endnote w:type="continuationSeparator" w:id="0">
    <w:p w14:paraId="4662C8E7" w14:textId="77777777" w:rsidR="002856C5" w:rsidRDefault="002856C5" w:rsidP="00C56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8341094"/>
      <w:docPartObj>
        <w:docPartGallery w:val="Page Numbers (Bottom of Page)"/>
        <w:docPartUnique/>
      </w:docPartObj>
    </w:sdtPr>
    <w:sdtContent>
      <w:p w14:paraId="4BEBFDB6" w14:textId="3EE81D27" w:rsidR="00C56643" w:rsidRDefault="00C56643">
        <w:pPr>
          <w:pStyle w:val="Piedepgina"/>
          <w:jc w:val="right"/>
        </w:pPr>
        <w:r>
          <w:fldChar w:fldCharType="begin"/>
        </w:r>
        <w:r>
          <w:instrText>PAGE   \* MERGEFORMAT</w:instrText>
        </w:r>
        <w:r>
          <w:fldChar w:fldCharType="separate"/>
        </w:r>
        <w:r>
          <w:t>2</w:t>
        </w:r>
        <w:r>
          <w:fldChar w:fldCharType="end"/>
        </w:r>
      </w:p>
    </w:sdtContent>
  </w:sdt>
  <w:p w14:paraId="33A33C7F" w14:textId="77777777" w:rsidR="00C56643" w:rsidRDefault="00C5664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3E23F" w14:textId="77777777" w:rsidR="002856C5" w:rsidRDefault="002856C5" w:rsidP="00C56643">
      <w:r>
        <w:separator/>
      </w:r>
    </w:p>
  </w:footnote>
  <w:footnote w:type="continuationSeparator" w:id="0">
    <w:p w14:paraId="51120F79" w14:textId="77777777" w:rsidR="002856C5" w:rsidRDefault="002856C5" w:rsidP="00C566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F7DF7"/>
    <w:multiLevelType w:val="hybridMultilevel"/>
    <w:tmpl w:val="4BA09346"/>
    <w:lvl w:ilvl="0" w:tplc="D6761B58">
      <w:start w:val="1"/>
      <w:numFmt w:val="lowerRoman"/>
      <w:lvlText w:val="%1."/>
      <w:lvlJc w:val="left"/>
      <w:pPr>
        <w:ind w:left="1421" w:hanging="720"/>
      </w:pPr>
      <w:rPr>
        <w:rFonts w:hint="default"/>
      </w:rPr>
    </w:lvl>
    <w:lvl w:ilvl="1" w:tplc="340A0019" w:tentative="1">
      <w:start w:val="1"/>
      <w:numFmt w:val="lowerLetter"/>
      <w:lvlText w:val="%2."/>
      <w:lvlJc w:val="left"/>
      <w:pPr>
        <w:ind w:left="1781" w:hanging="360"/>
      </w:pPr>
    </w:lvl>
    <w:lvl w:ilvl="2" w:tplc="340A001B" w:tentative="1">
      <w:start w:val="1"/>
      <w:numFmt w:val="lowerRoman"/>
      <w:lvlText w:val="%3."/>
      <w:lvlJc w:val="right"/>
      <w:pPr>
        <w:ind w:left="2501" w:hanging="180"/>
      </w:pPr>
    </w:lvl>
    <w:lvl w:ilvl="3" w:tplc="340A000F" w:tentative="1">
      <w:start w:val="1"/>
      <w:numFmt w:val="decimal"/>
      <w:lvlText w:val="%4."/>
      <w:lvlJc w:val="left"/>
      <w:pPr>
        <w:ind w:left="3221" w:hanging="360"/>
      </w:pPr>
    </w:lvl>
    <w:lvl w:ilvl="4" w:tplc="340A0019" w:tentative="1">
      <w:start w:val="1"/>
      <w:numFmt w:val="lowerLetter"/>
      <w:lvlText w:val="%5."/>
      <w:lvlJc w:val="left"/>
      <w:pPr>
        <w:ind w:left="3941" w:hanging="360"/>
      </w:pPr>
    </w:lvl>
    <w:lvl w:ilvl="5" w:tplc="340A001B" w:tentative="1">
      <w:start w:val="1"/>
      <w:numFmt w:val="lowerRoman"/>
      <w:lvlText w:val="%6."/>
      <w:lvlJc w:val="right"/>
      <w:pPr>
        <w:ind w:left="4661" w:hanging="180"/>
      </w:pPr>
    </w:lvl>
    <w:lvl w:ilvl="6" w:tplc="340A000F" w:tentative="1">
      <w:start w:val="1"/>
      <w:numFmt w:val="decimal"/>
      <w:lvlText w:val="%7."/>
      <w:lvlJc w:val="left"/>
      <w:pPr>
        <w:ind w:left="5381" w:hanging="360"/>
      </w:pPr>
    </w:lvl>
    <w:lvl w:ilvl="7" w:tplc="340A0019" w:tentative="1">
      <w:start w:val="1"/>
      <w:numFmt w:val="lowerLetter"/>
      <w:lvlText w:val="%8."/>
      <w:lvlJc w:val="left"/>
      <w:pPr>
        <w:ind w:left="6101" w:hanging="360"/>
      </w:pPr>
    </w:lvl>
    <w:lvl w:ilvl="8" w:tplc="340A001B" w:tentative="1">
      <w:start w:val="1"/>
      <w:numFmt w:val="lowerRoman"/>
      <w:lvlText w:val="%9."/>
      <w:lvlJc w:val="right"/>
      <w:pPr>
        <w:ind w:left="6821" w:hanging="180"/>
      </w:pPr>
    </w:lvl>
  </w:abstractNum>
  <w:abstractNum w:abstractNumId="1" w15:restartNumberingAfterBreak="0">
    <w:nsid w:val="07225A34"/>
    <w:multiLevelType w:val="hybridMultilevel"/>
    <w:tmpl w:val="90DE0F98"/>
    <w:lvl w:ilvl="0" w:tplc="C180F022">
      <w:start w:val="1"/>
      <w:numFmt w:val="bullet"/>
      <w:lvlText w:val="•"/>
      <w:lvlJc w:val="left"/>
      <w:pPr>
        <w:tabs>
          <w:tab w:val="num" w:pos="720"/>
        </w:tabs>
        <w:ind w:left="720" w:hanging="360"/>
      </w:pPr>
      <w:rPr>
        <w:rFonts w:ascii="Times New Roman" w:hAnsi="Times New Roman" w:hint="default"/>
      </w:rPr>
    </w:lvl>
    <w:lvl w:ilvl="1" w:tplc="F60CCD10" w:tentative="1">
      <w:start w:val="1"/>
      <w:numFmt w:val="bullet"/>
      <w:lvlText w:val="•"/>
      <w:lvlJc w:val="left"/>
      <w:pPr>
        <w:tabs>
          <w:tab w:val="num" w:pos="1440"/>
        </w:tabs>
        <w:ind w:left="1440" w:hanging="360"/>
      </w:pPr>
      <w:rPr>
        <w:rFonts w:ascii="Times New Roman" w:hAnsi="Times New Roman" w:hint="default"/>
      </w:rPr>
    </w:lvl>
    <w:lvl w:ilvl="2" w:tplc="923EE934" w:tentative="1">
      <w:start w:val="1"/>
      <w:numFmt w:val="bullet"/>
      <w:lvlText w:val="•"/>
      <w:lvlJc w:val="left"/>
      <w:pPr>
        <w:tabs>
          <w:tab w:val="num" w:pos="2160"/>
        </w:tabs>
        <w:ind w:left="2160" w:hanging="360"/>
      </w:pPr>
      <w:rPr>
        <w:rFonts w:ascii="Times New Roman" w:hAnsi="Times New Roman" w:hint="default"/>
      </w:rPr>
    </w:lvl>
    <w:lvl w:ilvl="3" w:tplc="F7F2A7B2" w:tentative="1">
      <w:start w:val="1"/>
      <w:numFmt w:val="bullet"/>
      <w:lvlText w:val="•"/>
      <w:lvlJc w:val="left"/>
      <w:pPr>
        <w:tabs>
          <w:tab w:val="num" w:pos="2880"/>
        </w:tabs>
        <w:ind w:left="2880" w:hanging="360"/>
      </w:pPr>
      <w:rPr>
        <w:rFonts w:ascii="Times New Roman" w:hAnsi="Times New Roman" w:hint="default"/>
      </w:rPr>
    </w:lvl>
    <w:lvl w:ilvl="4" w:tplc="E19227F6" w:tentative="1">
      <w:start w:val="1"/>
      <w:numFmt w:val="bullet"/>
      <w:lvlText w:val="•"/>
      <w:lvlJc w:val="left"/>
      <w:pPr>
        <w:tabs>
          <w:tab w:val="num" w:pos="3600"/>
        </w:tabs>
        <w:ind w:left="3600" w:hanging="360"/>
      </w:pPr>
      <w:rPr>
        <w:rFonts w:ascii="Times New Roman" w:hAnsi="Times New Roman" w:hint="default"/>
      </w:rPr>
    </w:lvl>
    <w:lvl w:ilvl="5" w:tplc="7620088C" w:tentative="1">
      <w:start w:val="1"/>
      <w:numFmt w:val="bullet"/>
      <w:lvlText w:val="•"/>
      <w:lvlJc w:val="left"/>
      <w:pPr>
        <w:tabs>
          <w:tab w:val="num" w:pos="4320"/>
        </w:tabs>
        <w:ind w:left="4320" w:hanging="360"/>
      </w:pPr>
      <w:rPr>
        <w:rFonts w:ascii="Times New Roman" w:hAnsi="Times New Roman" w:hint="default"/>
      </w:rPr>
    </w:lvl>
    <w:lvl w:ilvl="6" w:tplc="289A2366" w:tentative="1">
      <w:start w:val="1"/>
      <w:numFmt w:val="bullet"/>
      <w:lvlText w:val="•"/>
      <w:lvlJc w:val="left"/>
      <w:pPr>
        <w:tabs>
          <w:tab w:val="num" w:pos="5040"/>
        </w:tabs>
        <w:ind w:left="5040" w:hanging="360"/>
      </w:pPr>
      <w:rPr>
        <w:rFonts w:ascii="Times New Roman" w:hAnsi="Times New Roman" w:hint="default"/>
      </w:rPr>
    </w:lvl>
    <w:lvl w:ilvl="7" w:tplc="636EDD3C" w:tentative="1">
      <w:start w:val="1"/>
      <w:numFmt w:val="bullet"/>
      <w:lvlText w:val="•"/>
      <w:lvlJc w:val="left"/>
      <w:pPr>
        <w:tabs>
          <w:tab w:val="num" w:pos="5760"/>
        </w:tabs>
        <w:ind w:left="5760" w:hanging="360"/>
      </w:pPr>
      <w:rPr>
        <w:rFonts w:ascii="Times New Roman" w:hAnsi="Times New Roman" w:hint="default"/>
      </w:rPr>
    </w:lvl>
    <w:lvl w:ilvl="8" w:tplc="E05603C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8415C0B"/>
    <w:multiLevelType w:val="multilevel"/>
    <w:tmpl w:val="9330345C"/>
    <w:lvl w:ilvl="0">
      <w:start w:val="2"/>
      <w:numFmt w:val="decimal"/>
      <w:lvlText w:val="%1"/>
      <w:lvlJc w:val="left"/>
      <w:pPr>
        <w:ind w:left="1391" w:hanging="330"/>
      </w:pPr>
      <w:rPr>
        <w:rFonts w:hint="default"/>
        <w:lang w:val="es-ES" w:eastAsia="en-US" w:bidi="ar-SA"/>
      </w:rPr>
    </w:lvl>
    <w:lvl w:ilvl="1">
      <w:start w:val="1"/>
      <w:numFmt w:val="decimal"/>
      <w:lvlText w:val="%1.%2"/>
      <w:lvlJc w:val="left"/>
      <w:pPr>
        <w:ind w:left="1391" w:hanging="330"/>
      </w:pPr>
      <w:rPr>
        <w:rFonts w:ascii="Calibri" w:eastAsia="Calibri" w:hAnsi="Calibri" w:cs="Calibri" w:hint="default"/>
        <w:b/>
        <w:bCs/>
        <w:i w:val="0"/>
        <w:iCs w:val="0"/>
        <w:spacing w:val="-2"/>
        <w:w w:val="100"/>
        <w:sz w:val="22"/>
        <w:szCs w:val="22"/>
        <w:lang w:val="es-ES" w:eastAsia="en-US" w:bidi="ar-SA"/>
      </w:rPr>
    </w:lvl>
    <w:lvl w:ilvl="2">
      <w:numFmt w:val="bullet"/>
      <w:lvlText w:val="•"/>
      <w:lvlJc w:val="left"/>
      <w:pPr>
        <w:ind w:left="3208" w:hanging="330"/>
      </w:pPr>
      <w:rPr>
        <w:rFonts w:hint="default"/>
        <w:lang w:val="es-ES" w:eastAsia="en-US" w:bidi="ar-SA"/>
      </w:rPr>
    </w:lvl>
    <w:lvl w:ilvl="3">
      <w:numFmt w:val="bullet"/>
      <w:lvlText w:val="•"/>
      <w:lvlJc w:val="left"/>
      <w:pPr>
        <w:ind w:left="4112" w:hanging="330"/>
      </w:pPr>
      <w:rPr>
        <w:rFonts w:hint="default"/>
        <w:lang w:val="es-ES" w:eastAsia="en-US" w:bidi="ar-SA"/>
      </w:rPr>
    </w:lvl>
    <w:lvl w:ilvl="4">
      <w:numFmt w:val="bullet"/>
      <w:lvlText w:val="•"/>
      <w:lvlJc w:val="left"/>
      <w:pPr>
        <w:ind w:left="5016" w:hanging="330"/>
      </w:pPr>
      <w:rPr>
        <w:rFonts w:hint="default"/>
        <w:lang w:val="es-ES" w:eastAsia="en-US" w:bidi="ar-SA"/>
      </w:rPr>
    </w:lvl>
    <w:lvl w:ilvl="5">
      <w:numFmt w:val="bullet"/>
      <w:lvlText w:val="•"/>
      <w:lvlJc w:val="left"/>
      <w:pPr>
        <w:ind w:left="5920" w:hanging="330"/>
      </w:pPr>
      <w:rPr>
        <w:rFonts w:hint="default"/>
        <w:lang w:val="es-ES" w:eastAsia="en-US" w:bidi="ar-SA"/>
      </w:rPr>
    </w:lvl>
    <w:lvl w:ilvl="6">
      <w:numFmt w:val="bullet"/>
      <w:lvlText w:val="•"/>
      <w:lvlJc w:val="left"/>
      <w:pPr>
        <w:ind w:left="6824" w:hanging="330"/>
      </w:pPr>
      <w:rPr>
        <w:rFonts w:hint="default"/>
        <w:lang w:val="es-ES" w:eastAsia="en-US" w:bidi="ar-SA"/>
      </w:rPr>
    </w:lvl>
    <w:lvl w:ilvl="7">
      <w:numFmt w:val="bullet"/>
      <w:lvlText w:val="•"/>
      <w:lvlJc w:val="left"/>
      <w:pPr>
        <w:ind w:left="7728" w:hanging="330"/>
      </w:pPr>
      <w:rPr>
        <w:rFonts w:hint="default"/>
        <w:lang w:val="es-ES" w:eastAsia="en-US" w:bidi="ar-SA"/>
      </w:rPr>
    </w:lvl>
    <w:lvl w:ilvl="8">
      <w:numFmt w:val="bullet"/>
      <w:lvlText w:val="•"/>
      <w:lvlJc w:val="left"/>
      <w:pPr>
        <w:ind w:left="8632" w:hanging="330"/>
      </w:pPr>
      <w:rPr>
        <w:rFonts w:hint="default"/>
        <w:lang w:val="es-ES" w:eastAsia="en-US" w:bidi="ar-SA"/>
      </w:rPr>
    </w:lvl>
  </w:abstractNum>
  <w:abstractNum w:abstractNumId="3" w15:restartNumberingAfterBreak="0">
    <w:nsid w:val="09083990"/>
    <w:multiLevelType w:val="multilevel"/>
    <w:tmpl w:val="9842AF72"/>
    <w:lvl w:ilvl="0">
      <w:start w:val="1"/>
      <w:numFmt w:val="decimal"/>
      <w:pStyle w:val="Ttulo2"/>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1890071F"/>
    <w:multiLevelType w:val="hybridMultilevel"/>
    <w:tmpl w:val="A29A973A"/>
    <w:lvl w:ilvl="0" w:tplc="1DEC3F5A">
      <w:start w:val="1"/>
      <w:numFmt w:val="upperRoman"/>
      <w:lvlText w:val="%1."/>
      <w:lvlJc w:val="left"/>
      <w:pPr>
        <w:ind w:left="871" w:hanging="171"/>
      </w:pPr>
      <w:rPr>
        <w:rFonts w:ascii="Calibri" w:eastAsia="Calibri" w:hAnsi="Calibri" w:cs="Calibri" w:hint="default"/>
        <w:b/>
        <w:bCs/>
        <w:i w:val="0"/>
        <w:iCs w:val="0"/>
        <w:spacing w:val="0"/>
        <w:w w:val="100"/>
        <w:sz w:val="22"/>
        <w:szCs w:val="22"/>
        <w:lang w:val="es-ES" w:eastAsia="en-US" w:bidi="ar-SA"/>
      </w:rPr>
    </w:lvl>
    <w:lvl w:ilvl="1" w:tplc="C58AC8F8">
      <w:numFmt w:val="bullet"/>
      <w:lvlText w:val="•"/>
      <w:lvlJc w:val="left"/>
      <w:pPr>
        <w:ind w:left="1836" w:hanging="171"/>
      </w:pPr>
      <w:rPr>
        <w:rFonts w:hint="default"/>
        <w:lang w:val="es-ES" w:eastAsia="en-US" w:bidi="ar-SA"/>
      </w:rPr>
    </w:lvl>
    <w:lvl w:ilvl="2" w:tplc="4552CBF4">
      <w:numFmt w:val="bullet"/>
      <w:lvlText w:val="•"/>
      <w:lvlJc w:val="left"/>
      <w:pPr>
        <w:ind w:left="2792" w:hanging="171"/>
      </w:pPr>
      <w:rPr>
        <w:rFonts w:hint="default"/>
        <w:lang w:val="es-ES" w:eastAsia="en-US" w:bidi="ar-SA"/>
      </w:rPr>
    </w:lvl>
    <w:lvl w:ilvl="3" w:tplc="F6A6C4D4">
      <w:numFmt w:val="bullet"/>
      <w:lvlText w:val="•"/>
      <w:lvlJc w:val="left"/>
      <w:pPr>
        <w:ind w:left="3748" w:hanging="171"/>
      </w:pPr>
      <w:rPr>
        <w:rFonts w:hint="default"/>
        <w:lang w:val="es-ES" w:eastAsia="en-US" w:bidi="ar-SA"/>
      </w:rPr>
    </w:lvl>
    <w:lvl w:ilvl="4" w:tplc="6FE4016E">
      <w:numFmt w:val="bullet"/>
      <w:lvlText w:val="•"/>
      <w:lvlJc w:val="left"/>
      <w:pPr>
        <w:ind w:left="4704" w:hanging="171"/>
      </w:pPr>
      <w:rPr>
        <w:rFonts w:hint="default"/>
        <w:lang w:val="es-ES" w:eastAsia="en-US" w:bidi="ar-SA"/>
      </w:rPr>
    </w:lvl>
    <w:lvl w:ilvl="5" w:tplc="2D28AF2E">
      <w:numFmt w:val="bullet"/>
      <w:lvlText w:val="•"/>
      <w:lvlJc w:val="left"/>
      <w:pPr>
        <w:ind w:left="5660" w:hanging="171"/>
      </w:pPr>
      <w:rPr>
        <w:rFonts w:hint="default"/>
        <w:lang w:val="es-ES" w:eastAsia="en-US" w:bidi="ar-SA"/>
      </w:rPr>
    </w:lvl>
    <w:lvl w:ilvl="6" w:tplc="ED0A1694">
      <w:numFmt w:val="bullet"/>
      <w:lvlText w:val="•"/>
      <w:lvlJc w:val="left"/>
      <w:pPr>
        <w:ind w:left="6616" w:hanging="171"/>
      </w:pPr>
      <w:rPr>
        <w:rFonts w:hint="default"/>
        <w:lang w:val="es-ES" w:eastAsia="en-US" w:bidi="ar-SA"/>
      </w:rPr>
    </w:lvl>
    <w:lvl w:ilvl="7" w:tplc="B4A80A12">
      <w:numFmt w:val="bullet"/>
      <w:lvlText w:val="•"/>
      <w:lvlJc w:val="left"/>
      <w:pPr>
        <w:ind w:left="7572" w:hanging="171"/>
      </w:pPr>
      <w:rPr>
        <w:rFonts w:hint="default"/>
        <w:lang w:val="es-ES" w:eastAsia="en-US" w:bidi="ar-SA"/>
      </w:rPr>
    </w:lvl>
    <w:lvl w:ilvl="8" w:tplc="9CA4C2C6">
      <w:numFmt w:val="bullet"/>
      <w:lvlText w:val="•"/>
      <w:lvlJc w:val="left"/>
      <w:pPr>
        <w:ind w:left="8528" w:hanging="171"/>
      </w:pPr>
      <w:rPr>
        <w:rFonts w:hint="default"/>
        <w:lang w:val="es-ES" w:eastAsia="en-US" w:bidi="ar-SA"/>
      </w:rPr>
    </w:lvl>
  </w:abstractNum>
  <w:abstractNum w:abstractNumId="5" w15:restartNumberingAfterBreak="0">
    <w:nsid w:val="195F08CC"/>
    <w:multiLevelType w:val="hybridMultilevel"/>
    <w:tmpl w:val="3A9613C2"/>
    <w:lvl w:ilvl="0" w:tplc="4670BB62">
      <w:start w:val="1"/>
      <w:numFmt w:val="lowerRoman"/>
      <w:lvlText w:val="%1."/>
      <w:lvlJc w:val="left"/>
      <w:pPr>
        <w:ind w:left="1421" w:hanging="720"/>
      </w:pPr>
      <w:rPr>
        <w:rFonts w:hint="default"/>
      </w:rPr>
    </w:lvl>
    <w:lvl w:ilvl="1" w:tplc="340A0019" w:tentative="1">
      <w:start w:val="1"/>
      <w:numFmt w:val="lowerLetter"/>
      <w:lvlText w:val="%2."/>
      <w:lvlJc w:val="left"/>
      <w:pPr>
        <w:ind w:left="1781" w:hanging="360"/>
      </w:pPr>
    </w:lvl>
    <w:lvl w:ilvl="2" w:tplc="340A001B" w:tentative="1">
      <w:start w:val="1"/>
      <w:numFmt w:val="lowerRoman"/>
      <w:lvlText w:val="%3."/>
      <w:lvlJc w:val="right"/>
      <w:pPr>
        <w:ind w:left="2501" w:hanging="180"/>
      </w:pPr>
    </w:lvl>
    <w:lvl w:ilvl="3" w:tplc="340A000F" w:tentative="1">
      <w:start w:val="1"/>
      <w:numFmt w:val="decimal"/>
      <w:lvlText w:val="%4."/>
      <w:lvlJc w:val="left"/>
      <w:pPr>
        <w:ind w:left="3221" w:hanging="360"/>
      </w:pPr>
    </w:lvl>
    <w:lvl w:ilvl="4" w:tplc="340A0019" w:tentative="1">
      <w:start w:val="1"/>
      <w:numFmt w:val="lowerLetter"/>
      <w:lvlText w:val="%5."/>
      <w:lvlJc w:val="left"/>
      <w:pPr>
        <w:ind w:left="3941" w:hanging="360"/>
      </w:pPr>
    </w:lvl>
    <w:lvl w:ilvl="5" w:tplc="340A001B" w:tentative="1">
      <w:start w:val="1"/>
      <w:numFmt w:val="lowerRoman"/>
      <w:lvlText w:val="%6."/>
      <w:lvlJc w:val="right"/>
      <w:pPr>
        <w:ind w:left="4661" w:hanging="180"/>
      </w:pPr>
    </w:lvl>
    <w:lvl w:ilvl="6" w:tplc="340A000F" w:tentative="1">
      <w:start w:val="1"/>
      <w:numFmt w:val="decimal"/>
      <w:lvlText w:val="%7."/>
      <w:lvlJc w:val="left"/>
      <w:pPr>
        <w:ind w:left="5381" w:hanging="360"/>
      </w:pPr>
    </w:lvl>
    <w:lvl w:ilvl="7" w:tplc="340A0019" w:tentative="1">
      <w:start w:val="1"/>
      <w:numFmt w:val="lowerLetter"/>
      <w:lvlText w:val="%8."/>
      <w:lvlJc w:val="left"/>
      <w:pPr>
        <w:ind w:left="6101" w:hanging="360"/>
      </w:pPr>
    </w:lvl>
    <w:lvl w:ilvl="8" w:tplc="340A001B" w:tentative="1">
      <w:start w:val="1"/>
      <w:numFmt w:val="lowerRoman"/>
      <w:lvlText w:val="%9."/>
      <w:lvlJc w:val="right"/>
      <w:pPr>
        <w:ind w:left="6821" w:hanging="180"/>
      </w:pPr>
    </w:lvl>
  </w:abstractNum>
  <w:abstractNum w:abstractNumId="6" w15:restartNumberingAfterBreak="0">
    <w:nsid w:val="25D9300C"/>
    <w:multiLevelType w:val="hybridMultilevel"/>
    <w:tmpl w:val="A01612C2"/>
    <w:lvl w:ilvl="0" w:tplc="23E0D0B0">
      <w:start w:val="1"/>
      <w:numFmt w:val="upperRoman"/>
      <w:lvlText w:val="%1."/>
      <w:lvlJc w:val="left"/>
      <w:pPr>
        <w:ind w:left="1421" w:hanging="720"/>
      </w:pPr>
      <w:rPr>
        <w:rFonts w:hint="default"/>
      </w:rPr>
    </w:lvl>
    <w:lvl w:ilvl="1" w:tplc="340A0019" w:tentative="1">
      <w:start w:val="1"/>
      <w:numFmt w:val="lowerLetter"/>
      <w:lvlText w:val="%2."/>
      <w:lvlJc w:val="left"/>
      <w:pPr>
        <w:ind w:left="1781" w:hanging="360"/>
      </w:pPr>
    </w:lvl>
    <w:lvl w:ilvl="2" w:tplc="340A001B" w:tentative="1">
      <w:start w:val="1"/>
      <w:numFmt w:val="lowerRoman"/>
      <w:lvlText w:val="%3."/>
      <w:lvlJc w:val="right"/>
      <w:pPr>
        <w:ind w:left="2501" w:hanging="180"/>
      </w:pPr>
    </w:lvl>
    <w:lvl w:ilvl="3" w:tplc="340A000F" w:tentative="1">
      <w:start w:val="1"/>
      <w:numFmt w:val="decimal"/>
      <w:lvlText w:val="%4."/>
      <w:lvlJc w:val="left"/>
      <w:pPr>
        <w:ind w:left="3221" w:hanging="360"/>
      </w:pPr>
    </w:lvl>
    <w:lvl w:ilvl="4" w:tplc="340A0019" w:tentative="1">
      <w:start w:val="1"/>
      <w:numFmt w:val="lowerLetter"/>
      <w:lvlText w:val="%5."/>
      <w:lvlJc w:val="left"/>
      <w:pPr>
        <w:ind w:left="3941" w:hanging="360"/>
      </w:pPr>
    </w:lvl>
    <w:lvl w:ilvl="5" w:tplc="340A001B" w:tentative="1">
      <w:start w:val="1"/>
      <w:numFmt w:val="lowerRoman"/>
      <w:lvlText w:val="%6."/>
      <w:lvlJc w:val="right"/>
      <w:pPr>
        <w:ind w:left="4661" w:hanging="180"/>
      </w:pPr>
    </w:lvl>
    <w:lvl w:ilvl="6" w:tplc="340A000F" w:tentative="1">
      <w:start w:val="1"/>
      <w:numFmt w:val="decimal"/>
      <w:lvlText w:val="%7."/>
      <w:lvlJc w:val="left"/>
      <w:pPr>
        <w:ind w:left="5381" w:hanging="360"/>
      </w:pPr>
    </w:lvl>
    <w:lvl w:ilvl="7" w:tplc="340A0019" w:tentative="1">
      <w:start w:val="1"/>
      <w:numFmt w:val="lowerLetter"/>
      <w:lvlText w:val="%8."/>
      <w:lvlJc w:val="left"/>
      <w:pPr>
        <w:ind w:left="6101" w:hanging="360"/>
      </w:pPr>
    </w:lvl>
    <w:lvl w:ilvl="8" w:tplc="340A001B" w:tentative="1">
      <w:start w:val="1"/>
      <w:numFmt w:val="lowerRoman"/>
      <w:lvlText w:val="%9."/>
      <w:lvlJc w:val="right"/>
      <w:pPr>
        <w:ind w:left="6821" w:hanging="180"/>
      </w:pPr>
    </w:lvl>
  </w:abstractNum>
  <w:abstractNum w:abstractNumId="7" w15:restartNumberingAfterBreak="0">
    <w:nsid w:val="2AF662FA"/>
    <w:multiLevelType w:val="multilevel"/>
    <w:tmpl w:val="AC780990"/>
    <w:lvl w:ilvl="0">
      <w:start w:val="1"/>
      <w:numFmt w:val="decimal"/>
      <w:lvlText w:val="%1"/>
      <w:lvlJc w:val="left"/>
      <w:pPr>
        <w:ind w:left="1141" w:hanging="441"/>
      </w:pPr>
      <w:rPr>
        <w:rFonts w:hint="default"/>
        <w:lang w:val="es-ES" w:eastAsia="en-US" w:bidi="ar-SA"/>
      </w:rPr>
    </w:lvl>
    <w:lvl w:ilvl="1">
      <w:numFmt w:val="decimal"/>
      <w:lvlText w:val="%1.%2"/>
      <w:lvlJc w:val="left"/>
      <w:pPr>
        <w:ind w:left="1141" w:hanging="441"/>
        <w:jc w:val="right"/>
      </w:pPr>
      <w:rPr>
        <w:rFonts w:ascii="Calibri" w:eastAsia="Calibri" w:hAnsi="Calibri" w:cs="Calibri" w:hint="default"/>
        <w:b/>
        <w:bCs/>
        <w:i w:val="0"/>
        <w:iCs w:val="0"/>
        <w:spacing w:val="-2"/>
        <w:w w:val="100"/>
        <w:sz w:val="22"/>
        <w:szCs w:val="22"/>
        <w:lang w:val="es-ES" w:eastAsia="en-US" w:bidi="ar-SA"/>
      </w:rPr>
    </w:lvl>
    <w:lvl w:ilvl="2">
      <w:numFmt w:val="bullet"/>
      <w:lvlText w:val="•"/>
      <w:lvlJc w:val="left"/>
      <w:pPr>
        <w:ind w:left="3000" w:hanging="441"/>
      </w:pPr>
      <w:rPr>
        <w:rFonts w:hint="default"/>
        <w:lang w:val="es-ES" w:eastAsia="en-US" w:bidi="ar-SA"/>
      </w:rPr>
    </w:lvl>
    <w:lvl w:ilvl="3">
      <w:numFmt w:val="bullet"/>
      <w:lvlText w:val="•"/>
      <w:lvlJc w:val="left"/>
      <w:pPr>
        <w:ind w:left="3930" w:hanging="441"/>
      </w:pPr>
      <w:rPr>
        <w:rFonts w:hint="default"/>
        <w:lang w:val="es-ES" w:eastAsia="en-US" w:bidi="ar-SA"/>
      </w:rPr>
    </w:lvl>
    <w:lvl w:ilvl="4">
      <w:numFmt w:val="bullet"/>
      <w:lvlText w:val="•"/>
      <w:lvlJc w:val="left"/>
      <w:pPr>
        <w:ind w:left="4860" w:hanging="441"/>
      </w:pPr>
      <w:rPr>
        <w:rFonts w:hint="default"/>
        <w:lang w:val="es-ES" w:eastAsia="en-US" w:bidi="ar-SA"/>
      </w:rPr>
    </w:lvl>
    <w:lvl w:ilvl="5">
      <w:numFmt w:val="bullet"/>
      <w:lvlText w:val="•"/>
      <w:lvlJc w:val="left"/>
      <w:pPr>
        <w:ind w:left="5790" w:hanging="441"/>
      </w:pPr>
      <w:rPr>
        <w:rFonts w:hint="default"/>
        <w:lang w:val="es-ES" w:eastAsia="en-US" w:bidi="ar-SA"/>
      </w:rPr>
    </w:lvl>
    <w:lvl w:ilvl="6">
      <w:numFmt w:val="bullet"/>
      <w:lvlText w:val="•"/>
      <w:lvlJc w:val="left"/>
      <w:pPr>
        <w:ind w:left="6720" w:hanging="441"/>
      </w:pPr>
      <w:rPr>
        <w:rFonts w:hint="default"/>
        <w:lang w:val="es-ES" w:eastAsia="en-US" w:bidi="ar-SA"/>
      </w:rPr>
    </w:lvl>
    <w:lvl w:ilvl="7">
      <w:numFmt w:val="bullet"/>
      <w:lvlText w:val="•"/>
      <w:lvlJc w:val="left"/>
      <w:pPr>
        <w:ind w:left="7650" w:hanging="441"/>
      </w:pPr>
      <w:rPr>
        <w:rFonts w:hint="default"/>
        <w:lang w:val="es-ES" w:eastAsia="en-US" w:bidi="ar-SA"/>
      </w:rPr>
    </w:lvl>
    <w:lvl w:ilvl="8">
      <w:numFmt w:val="bullet"/>
      <w:lvlText w:val="•"/>
      <w:lvlJc w:val="left"/>
      <w:pPr>
        <w:ind w:left="8580" w:hanging="441"/>
      </w:pPr>
      <w:rPr>
        <w:rFonts w:hint="default"/>
        <w:lang w:val="es-ES" w:eastAsia="en-US" w:bidi="ar-SA"/>
      </w:rPr>
    </w:lvl>
  </w:abstractNum>
  <w:abstractNum w:abstractNumId="8" w15:restartNumberingAfterBreak="0">
    <w:nsid w:val="2F0D4D27"/>
    <w:multiLevelType w:val="multilevel"/>
    <w:tmpl w:val="18FAAEEC"/>
    <w:lvl w:ilvl="0">
      <w:start w:val="2"/>
      <w:numFmt w:val="decimal"/>
      <w:lvlText w:val="%1."/>
      <w:lvlJc w:val="left"/>
      <w:pPr>
        <w:ind w:left="901" w:hanging="201"/>
      </w:pPr>
      <w:rPr>
        <w:rFonts w:ascii="Calibri" w:eastAsia="Calibri" w:hAnsi="Calibri" w:cs="Calibri" w:hint="default"/>
        <w:b/>
        <w:bCs/>
        <w:i w:val="0"/>
        <w:iCs w:val="0"/>
        <w:spacing w:val="-3"/>
        <w:w w:val="90"/>
        <w:sz w:val="22"/>
        <w:szCs w:val="22"/>
        <w:lang w:val="es-ES" w:eastAsia="en-US" w:bidi="ar-SA"/>
      </w:rPr>
    </w:lvl>
    <w:lvl w:ilvl="1">
      <w:start w:val="1"/>
      <w:numFmt w:val="decimal"/>
      <w:lvlText w:val="%1.%2"/>
      <w:lvlJc w:val="left"/>
      <w:pPr>
        <w:ind w:left="1001" w:hanging="301"/>
      </w:pPr>
      <w:rPr>
        <w:rFonts w:ascii="Calibri" w:eastAsia="Calibri" w:hAnsi="Calibri" w:cs="Calibri" w:hint="default"/>
        <w:b w:val="0"/>
        <w:bCs w:val="0"/>
        <w:i w:val="0"/>
        <w:iCs w:val="0"/>
        <w:spacing w:val="-2"/>
        <w:w w:val="90"/>
        <w:sz w:val="22"/>
        <w:szCs w:val="22"/>
        <w:lang w:val="es-ES" w:eastAsia="en-US" w:bidi="ar-SA"/>
      </w:rPr>
    </w:lvl>
    <w:lvl w:ilvl="2">
      <w:numFmt w:val="bullet"/>
      <w:lvlText w:val="•"/>
      <w:lvlJc w:val="left"/>
      <w:pPr>
        <w:ind w:left="2048" w:hanging="301"/>
      </w:pPr>
      <w:rPr>
        <w:rFonts w:hint="default"/>
        <w:lang w:val="es-ES" w:eastAsia="en-US" w:bidi="ar-SA"/>
      </w:rPr>
    </w:lvl>
    <w:lvl w:ilvl="3">
      <w:numFmt w:val="bullet"/>
      <w:lvlText w:val="•"/>
      <w:lvlJc w:val="left"/>
      <w:pPr>
        <w:ind w:left="3097" w:hanging="301"/>
      </w:pPr>
      <w:rPr>
        <w:rFonts w:hint="default"/>
        <w:lang w:val="es-ES" w:eastAsia="en-US" w:bidi="ar-SA"/>
      </w:rPr>
    </w:lvl>
    <w:lvl w:ilvl="4">
      <w:numFmt w:val="bullet"/>
      <w:lvlText w:val="•"/>
      <w:lvlJc w:val="left"/>
      <w:pPr>
        <w:ind w:left="4146" w:hanging="301"/>
      </w:pPr>
      <w:rPr>
        <w:rFonts w:hint="default"/>
        <w:lang w:val="es-ES" w:eastAsia="en-US" w:bidi="ar-SA"/>
      </w:rPr>
    </w:lvl>
    <w:lvl w:ilvl="5">
      <w:numFmt w:val="bullet"/>
      <w:lvlText w:val="•"/>
      <w:lvlJc w:val="left"/>
      <w:pPr>
        <w:ind w:left="5195" w:hanging="301"/>
      </w:pPr>
      <w:rPr>
        <w:rFonts w:hint="default"/>
        <w:lang w:val="es-ES" w:eastAsia="en-US" w:bidi="ar-SA"/>
      </w:rPr>
    </w:lvl>
    <w:lvl w:ilvl="6">
      <w:numFmt w:val="bullet"/>
      <w:lvlText w:val="•"/>
      <w:lvlJc w:val="left"/>
      <w:pPr>
        <w:ind w:left="6244" w:hanging="301"/>
      </w:pPr>
      <w:rPr>
        <w:rFonts w:hint="default"/>
        <w:lang w:val="es-ES" w:eastAsia="en-US" w:bidi="ar-SA"/>
      </w:rPr>
    </w:lvl>
    <w:lvl w:ilvl="7">
      <w:numFmt w:val="bullet"/>
      <w:lvlText w:val="•"/>
      <w:lvlJc w:val="left"/>
      <w:pPr>
        <w:ind w:left="7293" w:hanging="301"/>
      </w:pPr>
      <w:rPr>
        <w:rFonts w:hint="default"/>
        <w:lang w:val="es-ES" w:eastAsia="en-US" w:bidi="ar-SA"/>
      </w:rPr>
    </w:lvl>
    <w:lvl w:ilvl="8">
      <w:numFmt w:val="bullet"/>
      <w:lvlText w:val="•"/>
      <w:lvlJc w:val="left"/>
      <w:pPr>
        <w:ind w:left="8342" w:hanging="301"/>
      </w:pPr>
      <w:rPr>
        <w:rFonts w:hint="default"/>
        <w:lang w:val="es-ES" w:eastAsia="en-US" w:bidi="ar-SA"/>
      </w:rPr>
    </w:lvl>
  </w:abstractNum>
  <w:abstractNum w:abstractNumId="9" w15:restartNumberingAfterBreak="0">
    <w:nsid w:val="367D3ACF"/>
    <w:multiLevelType w:val="hybridMultilevel"/>
    <w:tmpl w:val="2A86D9C2"/>
    <w:lvl w:ilvl="0" w:tplc="663A54D0">
      <w:start w:val="2"/>
      <w:numFmt w:val="decimal"/>
      <w:lvlText w:val="%1."/>
      <w:lvlJc w:val="left"/>
      <w:pPr>
        <w:ind w:left="1061" w:hanging="360"/>
      </w:pPr>
    </w:lvl>
    <w:lvl w:ilvl="1" w:tplc="105AD0E0">
      <w:start w:val="1"/>
      <w:numFmt w:val="lowerLetter"/>
      <w:lvlText w:val="%2."/>
      <w:lvlJc w:val="left"/>
      <w:pPr>
        <w:ind w:left="1781" w:hanging="360"/>
      </w:pPr>
    </w:lvl>
    <w:lvl w:ilvl="2" w:tplc="D584A66C">
      <w:start w:val="1"/>
      <w:numFmt w:val="lowerRoman"/>
      <w:lvlText w:val="%3."/>
      <w:lvlJc w:val="right"/>
      <w:pPr>
        <w:ind w:left="2501" w:hanging="180"/>
      </w:pPr>
    </w:lvl>
    <w:lvl w:ilvl="3" w:tplc="F85EDE6E">
      <w:start w:val="1"/>
      <w:numFmt w:val="decimal"/>
      <w:lvlText w:val="%4."/>
      <w:lvlJc w:val="left"/>
      <w:pPr>
        <w:ind w:left="3221" w:hanging="360"/>
      </w:pPr>
    </w:lvl>
    <w:lvl w:ilvl="4" w:tplc="AC0A88AC">
      <w:start w:val="1"/>
      <w:numFmt w:val="lowerLetter"/>
      <w:lvlText w:val="%5."/>
      <w:lvlJc w:val="left"/>
      <w:pPr>
        <w:ind w:left="3941" w:hanging="360"/>
      </w:pPr>
    </w:lvl>
    <w:lvl w:ilvl="5" w:tplc="990A88A4">
      <w:start w:val="1"/>
      <w:numFmt w:val="lowerRoman"/>
      <w:lvlText w:val="%6."/>
      <w:lvlJc w:val="right"/>
      <w:pPr>
        <w:ind w:left="4661" w:hanging="180"/>
      </w:pPr>
    </w:lvl>
    <w:lvl w:ilvl="6" w:tplc="6C30CAA4">
      <w:start w:val="1"/>
      <w:numFmt w:val="decimal"/>
      <w:lvlText w:val="%7."/>
      <w:lvlJc w:val="left"/>
      <w:pPr>
        <w:ind w:left="5381" w:hanging="360"/>
      </w:pPr>
    </w:lvl>
    <w:lvl w:ilvl="7" w:tplc="957C55B8">
      <w:start w:val="1"/>
      <w:numFmt w:val="lowerLetter"/>
      <w:lvlText w:val="%8."/>
      <w:lvlJc w:val="left"/>
      <w:pPr>
        <w:ind w:left="6101" w:hanging="360"/>
      </w:pPr>
    </w:lvl>
    <w:lvl w:ilvl="8" w:tplc="CD1C29EE">
      <w:start w:val="1"/>
      <w:numFmt w:val="lowerRoman"/>
      <w:lvlText w:val="%9."/>
      <w:lvlJc w:val="right"/>
      <w:pPr>
        <w:ind w:left="6821" w:hanging="180"/>
      </w:pPr>
    </w:lvl>
  </w:abstractNum>
  <w:abstractNum w:abstractNumId="10" w15:restartNumberingAfterBreak="0">
    <w:nsid w:val="3DDD0142"/>
    <w:multiLevelType w:val="multilevel"/>
    <w:tmpl w:val="D44E6224"/>
    <w:lvl w:ilvl="0">
      <w:start w:val="1"/>
      <w:numFmt w:val="upperRoman"/>
      <w:lvlText w:val="%1."/>
      <w:lvlJc w:val="left"/>
      <w:pPr>
        <w:ind w:left="1421" w:hanging="72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59" w:hanging="720"/>
      </w:pPr>
      <w:rPr>
        <w:rFonts w:hint="default"/>
      </w:rPr>
    </w:lvl>
    <w:lvl w:ilvl="3">
      <w:start w:val="1"/>
      <w:numFmt w:val="decimal"/>
      <w:isLgl/>
      <w:lvlText w:val="%1.%2.%3.%4"/>
      <w:lvlJc w:val="left"/>
      <w:pPr>
        <w:ind w:left="1478" w:hanging="720"/>
      </w:pPr>
      <w:rPr>
        <w:rFonts w:hint="default"/>
      </w:rPr>
    </w:lvl>
    <w:lvl w:ilvl="4">
      <w:start w:val="1"/>
      <w:numFmt w:val="decimal"/>
      <w:isLgl/>
      <w:lvlText w:val="%1.%2.%3.%4.%5"/>
      <w:lvlJc w:val="left"/>
      <w:pPr>
        <w:ind w:left="1857" w:hanging="1080"/>
      </w:pPr>
      <w:rPr>
        <w:rFonts w:hint="default"/>
      </w:rPr>
    </w:lvl>
    <w:lvl w:ilvl="5">
      <w:start w:val="1"/>
      <w:numFmt w:val="decimal"/>
      <w:isLgl/>
      <w:lvlText w:val="%1.%2.%3.%4.%5.%6"/>
      <w:lvlJc w:val="left"/>
      <w:pPr>
        <w:ind w:left="1876" w:hanging="1080"/>
      </w:pPr>
      <w:rPr>
        <w:rFonts w:hint="default"/>
      </w:rPr>
    </w:lvl>
    <w:lvl w:ilvl="6">
      <w:start w:val="1"/>
      <w:numFmt w:val="decimal"/>
      <w:isLgl/>
      <w:lvlText w:val="%1.%2.%3.%4.%5.%6.%7"/>
      <w:lvlJc w:val="left"/>
      <w:pPr>
        <w:ind w:left="2255" w:hanging="1440"/>
      </w:pPr>
      <w:rPr>
        <w:rFonts w:hint="default"/>
      </w:rPr>
    </w:lvl>
    <w:lvl w:ilvl="7">
      <w:start w:val="1"/>
      <w:numFmt w:val="decimal"/>
      <w:isLgl/>
      <w:lvlText w:val="%1.%2.%3.%4.%5.%6.%7.%8"/>
      <w:lvlJc w:val="left"/>
      <w:pPr>
        <w:ind w:left="2274" w:hanging="1440"/>
      </w:pPr>
      <w:rPr>
        <w:rFonts w:hint="default"/>
      </w:rPr>
    </w:lvl>
    <w:lvl w:ilvl="8">
      <w:start w:val="1"/>
      <w:numFmt w:val="decimal"/>
      <w:isLgl/>
      <w:lvlText w:val="%1.%2.%3.%4.%5.%6.%7.%8.%9"/>
      <w:lvlJc w:val="left"/>
      <w:pPr>
        <w:ind w:left="2293" w:hanging="1440"/>
      </w:pPr>
      <w:rPr>
        <w:rFonts w:hint="default"/>
      </w:rPr>
    </w:lvl>
  </w:abstractNum>
  <w:abstractNum w:abstractNumId="11" w15:restartNumberingAfterBreak="0">
    <w:nsid w:val="3F8C2791"/>
    <w:multiLevelType w:val="multilevel"/>
    <w:tmpl w:val="58FC4678"/>
    <w:lvl w:ilvl="0">
      <w:start w:val="1"/>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12" w15:restartNumberingAfterBreak="0">
    <w:nsid w:val="41767AAC"/>
    <w:multiLevelType w:val="multilevel"/>
    <w:tmpl w:val="E36C2F5A"/>
    <w:lvl w:ilvl="0">
      <w:start w:val="1"/>
      <w:numFmt w:val="decimal"/>
      <w:lvlText w:val="%1.0."/>
      <w:lvlJc w:val="left"/>
      <w:pPr>
        <w:ind w:left="1101" w:hanging="390"/>
      </w:pPr>
      <w:rPr>
        <w:rFonts w:hint="default"/>
      </w:rPr>
    </w:lvl>
    <w:lvl w:ilvl="1">
      <w:start w:val="1"/>
      <w:numFmt w:val="decimal"/>
      <w:lvlText w:val="%1.%2."/>
      <w:lvlJc w:val="left"/>
      <w:pPr>
        <w:ind w:left="1821" w:hanging="390"/>
      </w:pPr>
      <w:rPr>
        <w:rFonts w:hint="default"/>
      </w:rPr>
    </w:lvl>
    <w:lvl w:ilvl="2">
      <w:start w:val="1"/>
      <w:numFmt w:val="decimal"/>
      <w:lvlText w:val="%1.%2.%3."/>
      <w:lvlJc w:val="left"/>
      <w:pPr>
        <w:ind w:left="2871" w:hanging="720"/>
      </w:pPr>
      <w:rPr>
        <w:rFonts w:hint="default"/>
      </w:rPr>
    </w:lvl>
    <w:lvl w:ilvl="3">
      <w:start w:val="1"/>
      <w:numFmt w:val="decimal"/>
      <w:lvlText w:val="%1.%2.%3.%4."/>
      <w:lvlJc w:val="left"/>
      <w:pPr>
        <w:ind w:left="3591" w:hanging="720"/>
      </w:pPr>
      <w:rPr>
        <w:rFonts w:hint="default"/>
      </w:rPr>
    </w:lvl>
    <w:lvl w:ilvl="4">
      <w:start w:val="1"/>
      <w:numFmt w:val="decimal"/>
      <w:lvlText w:val="%1.%2.%3.%4.%5."/>
      <w:lvlJc w:val="left"/>
      <w:pPr>
        <w:ind w:left="4671" w:hanging="1080"/>
      </w:pPr>
      <w:rPr>
        <w:rFonts w:hint="default"/>
      </w:rPr>
    </w:lvl>
    <w:lvl w:ilvl="5">
      <w:start w:val="1"/>
      <w:numFmt w:val="decimal"/>
      <w:lvlText w:val="%1.%2.%3.%4.%5.%6."/>
      <w:lvlJc w:val="left"/>
      <w:pPr>
        <w:ind w:left="5391" w:hanging="1080"/>
      </w:pPr>
      <w:rPr>
        <w:rFonts w:hint="default"/>
      </w:rPr>
    </w:lvl>
    <w:lvl w:ilvl="6">
      <w:start w:val="1"/>
      <w:numFmt w:val="decimal"/>
      <w:lvlText w:val="%1.%2.%3.%4.%5.%6.%7."/>
      <w:lvlJc w:val="left"/>
      <w:pPr>
        <w:ind w:left="6471" w:hanging="1440"/>
      </w:pPr>
      <w:rPr>
        <w:rFonts w:hint="default"/>
      </w:rPr>
    </w:lvl>
    <w:lvl w:ilvl="7">
      <w:start w:val="1"/>
      <w:numFmt w:val="decimal"/>
      <w:lvlText w:val="%1.%2.%3.%4.%5.%6.%7.%8."/>
      <w:lvlJc w:val="left"/>
      <w:pPr>
        <w:ind w:left="7191" w:hanging="1440"/>
      </w:pPr>
      <w:rPr>
        <w:rFonts w:hint="default"/>
      </w:rPr>
    </w:lvl>
    <w:lvl w:ilvl="8">
      <w:start w:val="1"/>
      <w:numFmt w:val="decimal"/>
      <w:lvlText w:val="%1.%2.%3.%4.%5.%6.%7.%8.%9."/>
      <w:lvlJc w:val="left"/>
      <w:pPr>
        <w:ind w:left="8271" w:hanging="1800"/>
      </w:pPr>
      <w:rPr>
        <w:rFonts w:hint="default"/>
      </w:rPr>
    </w:lvl>
  </w:abstractNum>
  <w:abstractNum w:abstractNumId="13" w15:restartNumberingAfterBreak="0">
    <w:nsid w:val="4BB0665A"/>
    <w:multiLevelType w:val="multilevel"/>
    <w:tmpl w:val="A2F86B62"/>
    <w:lvl w:ilvl="0">
      <w:start w:val="1"/>
      <w:numFmt w:val="decimal"/>
      <w:lvlText w:val="%1"/>
      <w:lvlJc w:val="left"/>
      <w:pPr>
        <w:ind w:left="1061" w:hanging="361"/>
      </w:pPr>
      <w:rPr>
        <w:rFonts w:hint="default"/>
        <w:lang w:val="es-ES" w:eastAsia="en-US" w:bidi="ar-SA"/>
      </w:rPr>
    </w:lvl>
    <w:lvl w:ilvl="1">
      <w:start w:val="1"/>
      <w:numFmt w:val="decimal"/>
      <w:lvlText w:val="%1.%2"/>
      <w:lvlJc w:val="left"/>
      <w:pPr>
        <w:ind w:left="1061" w:hanging="361"/>
      </w:pPr>
      <w:rPr>
        <w:rFonts w:ascii="Calibri" w:eastAsia="Calibri" w:hAnsi="Calibri" w:cs="Calibri" w:hint="default"/>
        <w:b w:val="0"/>
        <w:bCs w:val="0"/>
        <w:i w:val="0"/>
        <w:iCs w:val="0"/>
        <w:spacing w:val="-2"/>
        <w:w w:val="90"/>
        <w:sz w:val="20"/>
        <w:szCs w:val="20"/>
        <w:lang w:val="es-ES" w:eastAsia="en-US" w:bidi="ar-SA"/>
      </w:rPr>
    </w:lvl>
    <w:lvl w:ilvl="2">
      <w:numFmt w:val="bullet"/>
      <w:lvlText w:val="•"/>
      <w:lvlJc w:val="left"/>
      <w:pPr>
        <w:ind w:left="2936" w:hanging="361"/>
      </w:pPr>
      <w:rPr>
        <w:rFonts w:hint="default"/>
        <w:lang w:val="es-ES" w:eastAsia="en-US" w:bidi="ar-SA"/>
      </w:rPr>
    </w:lvl>
    <w:lvl w:ilvl="3">
      <w:numFmt w:val="bullet"/>
      <w:lvlText w:val="•"/>
      <w:lvlJc w:val="left"/>
      <w:pPr>
        <w:ind w:left="3874" w:hanging="361"/>
      </w:pPr>
      <w:rPr>
        <w:rFonts w:hint="default"/>
        <w:lang w:val="es-ES" w:eastAsia="en-US" w:bidi="ar-SA"/>
      </w:rPr>
    </w:lvl>
    <w:lvl w:ilvl="4">
      <w:numFmt w:val="bullet"/>
      <w:lvlText w:val="•"/>
      <w:lvlJc w:val="left"/>
      <w:pPr>
        <w:ind w:left="4812" w:hanging="361"/>
      </w:pPr>
      <w:rPr>
        <w:rFonts w:hint="default"/>
        <w:lang w:val="es-ES" w:eastAsia="en-US" w:bidi="ar-SA"/>
      </w:rPr>
    </w:lvl>
    <w:lvl w:ilvl="5">
      <w:numFmt w:val="bullet"/>
      <w:lvlText w:val="•"/>
      <w:lvlJc w:val="left"/>
      <w:pPr>
        <w:ind w:left="5750" w:hanging="361"/>
      </w:pPr>
      <w:rPr>
        <w:rFonts w:hint="default"/>
        <w:lang w:val="es-ES" w:eastAsia="en-US" w:bidi="ar-SA"/>
      </w:rPr>
    </w:lvl>
    <w:lvl w:ilvl="6">
      <w:numFmt w:val="bullet"/>
      <w:lvlText w:val="•"/>
      <w:lvlJc w:val="left"/>
      <w:pPr>
        <w:ind w:left="6688" w:hanging="361"/>
      </w:pPr>
      <w:rPr>
        <w:rFonts w:hint="default"/>
        <w:lang w:val="es-ES" w:eastAsia="en-US" w:bidi="ar-SA"/>
      </w:rPr>
    </w:lvl>
    <w:lvl w:ilvl="7">
      <w:numFmt w:val="bullet"/>
      <w:lvlText w:val="•"/>
      <w:lvlJc w:val="left"/>
      <w:pPr>
        <w:ind w:left="7626" w:hanging="361"/>
      </w:pPr>
      <w:rPr>
        <w:rFonts w:hint="default"/>
        <w:lang w:val="es-ES" w:eastAsia="en-US" w:bidi="ar-SA"/>
      </w:rPr>
    </w:lvl>
    <w:lvl w:ilvl="8">
      <w:numFmt w:val="bullet"/>
      <w:lvlText w:val="•"/>
      <w:lvlJc w:val="left"/>
      <w:pPr>
        <w:ind w:left="8564" w:hanging="361"/>
      </w:pPr>
      <w:rPr>
        <w:rFonts w:hint="default"/>
        <w:lang w:val="es-ES" w:eastAsia="en-US" w:bidi="ar-SA"/>
      </w:rPr>
    </w:lvl>
  </w:abstractNum>
  <w:abstractNum w:abstractNumId="14" w15:restartNumberingAfterBreak="0">
    <w:nsid w:val="6E0E61C2"/>
    <w:multiLevelType w:val="hybridMultilevel"/>
    <w:tmpl w:val="6660CF94"/>
    <w:lvl w:ilvl="0" w:tplc="340A000F">
      <w:start w:val="2"/>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7BD4364B"/>
    <w:multiLevelType w:val="hybridMultilevel"/>
    <w:tmpl w:val="31BC54C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1589659750">
    <w:abstractNumId w:val="9"/>
  </w:num>
  <w:num w:numId="2" w16cid:durableId="1675919309">
    <w:abstractNumId w:val="2"/>
  </w:num>
  <w:num w:numId="3" w16cid:durableId="621880896">
    <w:abstractNumId w:val="7"/>
  </w:num>
  <w:num w:numId="4" w16cid:durableId="2168813">
    <w:abstractNumId w:val="8"/>
  </w:num>
  <w:num w:numId="5" w16cid:durableId="1147672541">
    <w:abstractNumId w:val="13"/>
  </w:num>
  <w:num w:numId="6" w16cid:durableId="1291936204">
    <w:abstractNumId w:val="4"/>
  </w:num>
  <w:num w:numId="7" w16cid:durableId="44725621">
    <w:abstractNumId w:val="12"/>
  </w:num>
  <w:num w:numId="8" w16cid:durableId="2001302753">
    <w:abstractNumId w:val="11"/>
  </w:num>
  <w:num w:numId="9" w16cid:durableId="410808524">
    <w:abstractNumId w:val="6"/>
  </w:num>
  <w:num w:numId="10" w16cid:durableId="1730614847">
    <w:abstractNumId w:val="5"/>
  </w:num>
  <w:num w:numId="11" w16cid:durableId="827600831">
    <w:abstractNumId w:val="10"/>
  </w:num>
  <w:num w:numId="12" w16cid:durableId="1011448112">
    <w:abstractNumId w:val="0"/>
  </w:num>
  <w:num w:numId="13" w16cid:durableId="767426677">
    <w:abstractNumId w:val="3"/>
  </w:num>
  <w:num w:numId="14" w16cid:durableId="1080558923">
    <w:abstractNumId w:val="14"/>
  </w:num>
  <w:num w:numId="15" w16cid:durableId="1045913122">
    <w:abstractNumId w:val="15"/>
  </w:num>
  <w:num w:numId="16" w16cid:durableId="660889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447"/>
    <w:rsid w:val="00001838"/>
    <w:rsid w:val="00003D28"/>
    <w:rsid w:val="0000495D"/>
    <w:rsid w:val="0006134B"/>
    <w:rsid w:val="0013476D"/>
    <w:rsid w:val="00151A86"/>
    <w:rsid w:val="0015707E"/>
    <w:rsid w:val="00185C5F"/>
    <w:rsid w:val="001C4720"/>
    <w:rsid w:val="001C6457"/>
    <w:rsid w:val="00212447"/>
    <w:rsid w:val="002856C5"/>
    <w:rsid w:val="00293F45"/>
    <w:rsid w:val="0030071B"/>
    <w:rsid w:val="00322517"/>
    <w:rsid w:val="0036240B"/>
    <w:rsid w:val="004674EE"/>
    <w:rsid w:val="00483C96"/>
    <w:rsid w:val="00497DED"/>
    <w:rsid w:val="004D118C"/>
    <w:rsid w:val="00500941"/>
    <w:rsid w:val="0051340B"/>
    <w:rsid w:val="00555430"/>
    <w:rsid w:val="00594C4A"/>
    <w:rsid w:val="005A3826"/>
    <w:rsid w:val="005A6A30"/>
    <w:rsid w:val="005A7E13"/>
    <w:rsid w:val="005F01CA"/>
    <w:rsid w:val="00642C93"/>
    <w:rsid w:val="00644FA2"/>
    <w:rsid w:val="00697616"/>
    <w:rsid w:val="006A0B22"/>
    <w:rsid w:val="00710AD1"/>
    <w:rsid w:val="00765A75"/>
    <w:rsid w:val="007D420C"/>
    <w:rsid w:val="007E2651"/>
    <w:rsid w:val="007F577F"/>
    <w:rsid w:val="00852B36"/>
    <w:rsid w:val="008C7720"/>
    <w:rsid w:val="008E3B41"/>
    <w:rsid w:val="008E7F09"/>
    <w:rsid w:val="008F41A3"/>
    <w:rsid w:val="00902751"/>
    <w:rsid w:val="00960858"/>
    <w:rsid w:val="00994888"/>
    <w:rsid w:val="00A3580A"/>
    <w:rsid w:val="00A7386B"/>
    <w:rsid w:val="00AC2C4C"/>
    <w:rsid w:val="00B74E7C"/>
    <w:rsid w:val="00BB730B"/>
    <w:rsid w:val="00BC7F30"/>
    <w:rsid w:val="00BD178A"/>
    <w:rsid w:val="00C06720"/>
    <w:rsid w:val="00C329C1"/>
    <w:rsid w:val="00C42C24"/>
    <w:rsid w:val="00C5205C"/>
    <w:rsid w:val="00C56643"/>
    <w:rsid w:val="00C83758"/>
    <w:rsid w:val="00CA70AF"/>
    <w:rsid w:val="00D0121C"/>
    <w:rsid w:val="00D330F1"/>
    <w:rsid w:val="00D55998"/>
    <w:rsid w:val="00D60233"/>
    <w:rsid w:val="00D72671"/>
    <w:rsid w:val="00DA0BD2"/>
    <w:rsid w:val="00DB37C2"/>
    <w:rsid w:val="00DB6617"/>
    <w:rsid w:val="00E1322C"/>
    <w:rsid w:val="00E211B0"/>
    <w:rsid w:val="00E91399"/>
    <w:rsid w:val="00F86A14"/>
    <w:rsid w:val="00FE6852"/>
    <w:rsid w:val="0135FD13"/>
    <w:rsid w:val="01C35814"/>
    <w:rsid w:val="03029A67"/>
    <w:rsid w:val="03CBC815"/>
    <w:rsid w:val="03D62A12"/>
    <w:rsid w:val="0417EFA9"/>
    <w:rsid w:val="04B10AD5"/>
    <w:rsid w:val="07C92341"/>
    <w:rsid w:val="096A5E1B"/>
    <w:rsid w:val="09910C6D"/>
    <w:rsid w:val="09B76B29"/>
    <w:rsid w:val="09BE2AA5"/>
    <w:rsid w:val="09D175EE"/>
    <w:rsid w:val="0AD7FF95"/>
    <w:rsid w:val="0C1BA565"/>
    <w:rsid w:val="0C2CDA86"/>
    <w:rsid w:val="0C8F84B6"/>
    <w:rsid w:val="0D1A0C99"/>
    <w:rsid w:val="0DEE34C3"/>
    <w:rsid w:val="0F58673E"/>
    <w:rsid w:val="0F6C4512"/>
    <w:rsid w:val="11403CA2"/>
    <w:rsid w:val="11598F4C"/>
    <w:rsid w:val="11713F3A"/>
    <w:rsid w:val="14EF9E9D"/>
    <w:rsid w:val="157B8EB2"/>
    <w:rsid w:val="15EF6318"/>
    <w:rsid w:val="16D5CFF1"/>
    <w:rsid w:val="1804C1E8"/>
    <w:rsid w:val="18D5FEC7"/>
    <w:rsid w:val="18EB5241"/>
    <w:rsid w:val="18FDC146"/>
    <w:rsid w:val="1A316744"/>
    <w:rsid w:val="1B629062"/>
    <w:rsid w:val="1C4D6963"/>
    <w:rsid w:val="1C534DF4"/>
    <w:rsid w:val="1CC926A5"/>
    <w:rsid w:val="1CEDD72B"/>
    <w:rsid w:val="1E2E7F46"/>
    <w:rsid w:val="1EEC81F5"/>
    <w:rsid w:val="1F010074"/>
    <w:rsid w:val="1FE0F4BB"/>
    <w:rsid w:val="205675EA"/>
    <w:rsid w:val="2086F12A"/>
    <w:rsid w:val="237E8014"/>
    <w:rsid w:val="23E6A07C"/>
    <w:rsid w:val="24B2E18A"/>
    <w:rsid w:val="24B819DA"/>
    <w:rsid w:val="24E65C83"/>
    <w:rsid w:val="26E51625"/>
    <w:rsid w:val="27EB6C62"/>
    <w:rsid w:val="28106FAC"/>
    <w:rsid w:val="28CEE3DE"/>
    <w:rsid w:val="28ED9BD6"/>
    <w:rsid w:val="293AC95E"/>
    <w:rsid w:val="29830885"/>
    <w:rsid w:val="29A86041"/>
    <w:rsid w:val="2B22DBB7"/>
    <w:rsid w:val="2B2EB1D4"/>
    <w:rsid w:val="2BFD3F59"/>
    <w:rsid w:val="2C345273"/>
    <w:rsid w:val="2C9BF65B"/>
    <w:rsid w:val="2C9DB1F6"/>
    <w:rsid w:val="2D0ADE38"/>
    <w:rsid w:val="2D71D483"/>
    <w:rsid w:val="2F3265B0"/>
    <w:rsid w:val="30525931"/>
    <w:rsid w:val="322C5176"/>
    <w:rsid w:val="32301B02"/>
    <w:rsid w:val="334FDDE2"/>
    <w:rsid w:val="34C03BB4"/>
    <w:rsid w:val="34E95C76"/>
    <w:rsid w:val="35530901"/>
    <w:rsid w:val="3591F0DD"/>
    <w:rsid w:val="35E4BBBD"/>
    <w:rsid w:val="368CBDA3"/>
    <w:rsid w:val="36D4A87E"/>
    <w:rsid w:val="37B26806"/>
    <w:rsid w:val="395D66C9"/>
    <w:rsid w:val="39B2F4D1"/>
    <w:rsid w:val="3AF147A9"/>
    <w:rsid w:val="3C2C8AEB"/>
    <w:rsid w:val="3C5BF592"/>
    <w:rsid w:val="3DBD350F"/>
    <w:rsid w:val="3E73FFB4"/>
    <w:rsid w:val="3EBA045C"/>
    <w:rsid w:val="3F11542A"/>
    <w:rsid w:val="3F384B02"/>
    <w:rsid w:val="3F6C0ECB"/>
    <w:rsid w:val="405F9346"/>
    <w:rsid w:val="409AFBAE"/>
    <w:rsid w:val="41043722"/>
    <w:rsid w:val="4111D362"/>
    <w:rsid w:val="41327B05"/>
    <w:rsid w:val="4261CBFF"/>
    <w:rsid w:val="42DBEC86"/>
    <w:rsid w:val="437A7E6D"/>
    <w:rsid w:val="4394FA24"/>
    <w:rsid w:val="43E78C22"/>
    <w:rsid w:val="440BB42D"/>
    <w:rsid w:val="44E4539F"/>
    <w:rsid w:val="4538E937"/>
    <w:rsid w:val="4565DCBC"/>
    <w:rsid w:val="4675BDC9"/>
    <w:rsid w:val="4870840A"/>
    <w:rsid w:val="493D567F"/>
    <w:rsid w:val="49B894A5"/>
    <w:rsid w:val="49D823DD"/>
    <w:rsid w:val="4C45D69D"/>
    <w:rsid w:val="4D3B6220"/>
    <w:rsid w:val="4DC0CCAB"/>
    <w:rsid w:val="4E46D5E4"/>
    <w:rsid w:val="4F75206B"/>
    <w:rsid w:val="50C4DB2C"/>
    <w:rsid w:val="516ABF38"/>
    <w:rsid w:val="522F7FBD"/>
    <w:rsid w:val="5290E5D2"/>
    <w:rsid w:val="52A89A4F"/>
    <w:rsid w:val="5597F096"/>
    <w:rsid w:val="560929F5"/>
    <w:rsid w:val="577F1F4E"/>
    <w:rsid w:val="579B42F1"/>
    <w:rsid w:val="57EAE654"/>
    <w:rsid w:val="58F5EAF5"/>
    <w:rsid w:val="59471C42"/>
    <w:rsid w:val="5B055F4B"/>
    <w:rsid w:val="5C0F9208"/>
    <w:rsid w:val="5C4AC09E"/>
    <w:rsid w:val="5CAE5AA9"/>
    <w:rsid w:val="5DE3CF18"/>
    <w:rsid w:val="5E2D0487"/>
    <w:rsid w:val="5EAB036F"/>
    <w:rsid w:val="5F88DCC4"/>
    <w:rsid w:val="61356122"/>
    <w:rsid w:val="622B1306"/>
    <w:rsid w:val="635B00CD"/>
    <w:rsid w:val="641F76BC"/>
    <w:rsid w:val="644F4D07"/>
    <w:rsid w:val="64FD7060"/>
    <w:rsid w:val="65000C4E"/>
    <w:rsid w:val="657897F5"/>
    <w:rsid w:val="657B455B"/>
    <w:rsid w:val="661428AC"/>
    <w:rsid w:val="666753C8"/>
    <w:rsid w:val="66E5FB62"/>
    <w:rsid w:val="6748C078"/>
    <w:rsid w:val="6774A1B5"/>
    <w:rsid w:val="6849D3CB"/>
    <w:rsid w:val="684C0D74"/>
    <w:rsid w:val="68F076E6"/>
    <w:rsid w:val="69A5E1F2"/>
    <w:rsid w:val="69DD3231"/>
    <w:rsid w:val="6ADD2D42"/>
    <w:rsid w:val="6D24DAF7"/>
    <w:rsid w:val="6D557036"/>
    <w:rsid w:val="6DB4FEC0"/>
    <w:rsid w:val="70621863"/>
    <w:rsid w:val="714416B9"/>
    <w:rsid w:val="73D9FE57"/>
    <w:rsid w:val="7511CE85"/>
    <w:rsid w:val="782EF377"/>
    <w:rsid w:val="784B3F32"/>
    <w:rsid w:val="78DF871C"/>
    <w:rsid w:val="78EE5315"/>
    <w:rsid w:val="79A84669"/>
    <w:rsid w:val="7C5CA49F"/>
    <w:rsid w:val="7C5E02CF"/>
    <w:rsid w:val="7CB1A4F8"/>
    <w:rsid w:val="7DED3D3A"/>
    <w:rsid w:val="7FCAAF5B"/>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E55F8"/>
  <w15:docId w15:val="{1C490512-8903-45F9-BC18-0F5FCA981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uiPriority w:val="9"/>
    <w:qFormat/>
    <w:pPr>
      <w:ind w:left="701"/>
      <w:outlineLvl w:val="0"/>
    </w:pPr>
    <w:rPr>
      <w:b/>
      <w:bCs/>
    </w:rPr>
  </w:style>
  <w:style w:type="paragraph" w:styleId="Ttulo2">
    <w:name w:val="heading 2"/>
    <w:basedOn w:val="Normal"/>
    <w:next w:val="Normal"/>
    <w:link w:val="Ttulo2Car"/>
    <w:uiPriority w:val="9"/>
    <w:unhideWhenUsed/>
    <w:qFormat/>
    <w:rsid w:val="008F41A3"/>
    <w:pPr>
      <w:keepNext/>
      <w:keepLines/>
      <w:numPr>
        <w:numId w:val="13"/>
      </w:numPr>
      <w:spacing w:before="40" w:line="360" w:lineRule="auto"/>
      <w:jc w:val="both"/>
      <w:outlineLvl w:val="1"/>
    </w:pPr>
    <w:rPr>
      <w:rFonts w:eastAsiaTheme="majorEastAsia"/>
      <w:b/>
      <w:bCs/>
      <w:color w:val="000000" w:themeColor="text1"/>
      <w:lang w:val="es-CL"/>
    </w:rPr>
  </w:style>
  <w:style w:type="paragraph" w:styleId="Ttulo3">
    <w:name w:val="heading 3"/>
    <w:basedOn w:val="Normal"/>
    <w:next w:val="Normal"/>
    <w:link w:val="Ttulo3Car"/>
    <w:uiPriority w:val="9"/>
    <w:unhideWhenUsed/>
    <w:qFormat/>
    <w:rsid w:val="001C6457"/>
    <w:pPr>
      <w:keepNext/>
      <w:keepLines/>
      <w:spacing w:before="40"/>
      <w:outlineLvl w:val="2"/>
    </w:pPr>
    <w:rPr>
      <w:rFonts w:eastAsiaTheme="majorEastAsia" w:cstheme="majorBidi"/>
      <w:color w:val="000000" w:themeColor="text1"/>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1359" w:hanging="298"/>
    </w:pPr>
  </w:style>
  <w:style w:type="paragraph" w:customStyle="1" w:styleId="TableParagraph">
    <w:name w:val="Table Paragraph"/>
    <w:basedOn w:val="Normal"/>
    <w:uiPriority w:val="1"/>
    <w:qFormat/>
    <w:rPr>
      <w:rFonts w:ascii="Calibri Light" w:eastAsia="Calibri Light" w:hAnsi="Calibri Light" w:cs="Calibri Light"/>
    </w:rPr>
  </w:style>
  <w:style w:type="character" w:styleId="Refdecomentario">
    <w:name w:val="annotation reference"/>
    <w:basedOn w:val="Fuentedeprrafopredeter"/>
    <w:uiPriority w:val="99"/>
    <w:semiHidden/>
    <w:unhideWhenUsed/>
    <w:rsid w:val="00642C93"/>
    <w:rPr>
      <w:sz w:val="16"/>
      <w:szCs w:val="16"/>
    </w:rPr>
  </w:style>
  <w:style w:type="paragraph" w:styleId="Textocomentario">
    <w:name w:val="annotation text"/>
    <w:basedOn w:val="Normal"/>
    <w:link w:val="TextocomentarioCar"/>
    <w:uiPriority w:val="99"/>
    <w:unhideWhenUsed/>
    <w:rsid w:val="00642C93"/>
    <w:rPr>
      <w:sz w:val="20"/>
      <w:szCs w:val="20"/>
    </w:rPr>
  </w:style>
  <w:style w:type="character" w:customStyle="1" w:styleId="TextocomentarioCar">
    <w:name w:val="Texto comentario Car"/>
    <w:basedOn w:val="Fuentedeprrafopredeter"/>
    <w:link w:val="Textocomentario"/>
    <w:uiPriority w:val="99"/>
    <w:rsid w:val="00642C93"/>
    <w:rPr>
      <w:rFonts w:ascii="Calibri" w:eastAsia="Calibri" w:hAnsi="Calibri" w:cs="Calibri"/>
      <w:sz w:val="20"/>
      <w:szCs w:val="20"/>
      <w:lang w:val="es-ES"/>
    </w:rPr>
  </w:style>
  <w:style w:type="paragraph" w:styleId="Asuntodelcomentario">
    <w:name w:val="annotation subject"/>
    <w:basedOn w:val="Textocomentario"/>
    <w:next w:val="Textocomentario"/>
    <w:link w:val="AsuntodelcomentarioCar"/>
    <w:uiPriority w:val="99"/>
    <w:semiHidden/>
    <w:unhideWhenUsed/>
    <w:rsid w:val="00642C93"/>
    <w:rPr>
      <w:b/>
      <w:bCs/>
    </w:rPr>
  </w:style>
  <w:style w:type="character" w:customStyle="1" w:styleId="AsuntodelcomentarioCar">
    <w:name w:val="Asunto del comentario Car"/>
    <w:basedOn w:val="TextocomentarioCar"/>
    <w:link w:val="Asuntodelcomentario"/>
    <w:uiPriority w:val="99"/>
    <w:semiHidden/>
    <w:rsid w:val="00642C93"/>
    <w:rPr>
      <w:rFonts w:ascii="Calibri" w:eastAsia="Calibri" w:hAnsi="Calibri" w:cs="Calibri"/>
      <w:b/>
      <w:bCs/>
      <w:sz w:val="20"/>
      <w:szCs w:val="20"/>
      <w:lang w:val="es-ES"/>
    </w:rPr>
  </w:style>
  <w:style w:type="paragraph" w:styleId="Revisin">
    <w:name w:val="Revision"/>
    <w:hidden/>
    <w:uiPriority w:val="99"/>
    <w:semiHidden/>
    <w:rsid w:val="00C83758"/>
    <w:pPr>
      <w:widowControl/>
      <w:autoSpaceDE/>
      <w:autoSpaceDN/>
    </w:pPr>
    <w:rPr>
      <w:rFonts w:ascii="Calibri" w:eastAsia="Calibri" w:hAnsi="Calibri" w:cs="Calibri"/>
      <w:lang w:val="es-ES"/>
    </w:rPr>
  </w:style>
  <w:style w:type="character" w:styleId="Hipervnculo">
    <w:name w:val="Hyperlink"/>
    <w:basedOn w:val="Fuentedeprrafopredeter"/>
    <w:uiPriority w:val="99"/>
    <w:unhideWhenUsed/>
    <w:rsid w:val="00994888"/>
    <w:rPr>
      <w:color w:val="0000FF" w:themeColor="hyperlink"/>
      <w:u w:val="single"/>
    </w:rPr>
  </w:style>
  <w:style w:type="character" w:styleId="Mencinsinresolver">
    <w:name w:val="Unresolved Mention"/>
    <w:basedOn w:val="Fuentedeprrafopredeter"/>
    <w:uiPriority w:val="99"/>
    <w:semiHidden/>
    <w:unhideWhenUsed/>
    <w:rsid w:val="00994888"/>
    <w:rPr>
      <w:color w:val="605E5C"/>
      <w:shd w:val="clear" w:color="auto" w:fill="E1DFDD"/>
    </w:rPr>
  </w:style>
  <w:style w:type="character" w:customStyle="1" w:styleId="Ttulo2Car">
    <w:name w:val="Título 2 Car"/>
    <w:basedOn w:val="Fuentedeprrafopredeter"/>
    <w:link w:val="Ttulo2"/>
    <w:uiPriority w:val="9"/>
    <w:rsid w:val="008F41A3"/>
    <w:rPr>
      <w:rFonts w:ascii="Calibri" w:eastAsiaTheme="majorEastAsia" w:hAnsi="Calibri" w:cs="Calibri"/>
      <w:b/>
      <w:bCs/>
      <w:color w:val="000000" w:themeColor="text1"/>
      <w:lang w:val="es-CL"/>
    </w:rPr>
  </w:style>
  <w:style w:type="paragraph" w:styleId="Subttulo">
    <w:name w:val="Subtitle"/>
    <w:basedOn w:val="Sinespaciado"/>
    <w:next w:val="Normal"/>
    <w:link w:val="SubttuloCar"/>
    <w:uiPriority w:val="11"/>
    <w:qFormat/>
    <w:rsid w:val="00555430"/>
    <w:pPr>
      <w:numPr>
        <w:ilvl w:val="1"/>
      </w:numPr>
      <w:spacing w:line="360" w:lineRule="auto"/>
      <w:ind w:left="720"/>
      <w:jc w:val="both"/>
    </w:pPr>
    <w:rPr>
      <w:rFonts w:eastAsiaTheme="minorEastAsia" w:cstheme="minorBidi"/>
      <w:color w:val="000000" w:themeColor="text1"/>
      <w:spacing w:val="15"/>
    </w:rPr>
  </w:style>
  <w:style w:type="character" w:customStyle="1" w:styleId="SubttuloCar">
    <w:name w:val="Subtítulo Car"/>
    <w:basedOn w:val="Fuentedeprrafopredeter"/>
    <w:link w:val="Subttulo"/>
    <w:uiPriority w:val="11"/>
    <w:rsid w:val="00555430"/>
    <w:rPr>
      <w:rFonts w:ascii="Calibri" w:eastAsiaTheme="minorEastAsia" w:hAnsi="Calibri"/>
      <w:color w:val="000000" w:themeColor="text1"/>
      <w:spacing w:val="15"/>
      <w:lang w:val="es-ES"/>
    </w:rPr>
  </w:style>
  <w:style w:type="paragraph" w:styleId="Sinespaciado">
    <w:name w:val="No Spacing"/>
    <w:uiPriority w:val="1"/>
    <w:qFormat/>
    <w:rsid w:val="00555430"/>
    <w:rPr>
      <w:rFonts w:ascii="Calibri" w:eastAsia="Calibri" w:hAnsi="Calibri" w:cs="Calibri"/>
      <w:lang w:val="es-ES"/>
    </w:rPr>
  </w:style>
  <w:style w:type="table" w:styleId="Tablaconcuadrcula">
    <w:name w:val="Table Grid"/>
    <w:basedOn w:val="Tablanormal"/>
    <w:uiPriority w:val="39"/>
    <w:rsid w:val="00BD17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1C6457"/>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s-CL" w:eastAsia="es-CL"/>
    </w:rPr>
  </w:style>
  <w:style w:type="paragraph" w:styleId="TDC1">
    <w:name w:val="toc 1"/>
    <w:basedOn w:val="Normal"/>
    <w:next w:val="Normal"/>
    <w:autoRedefine/>
    <w:uiPriority w:val="39"/>
    <w:unhideWhenUsed/>
    <w:rsid w:val="001C6457"/>
    <w:pPr>
      <w:spacing w:after="100"/>
    </w:pPr>
  </w:style>
  <w:style w:type="paragraph" w:styleId="TDC2">
    <w:name w:val="toc 2"/>
    <w:basedOn w:val="Normal"/>
    <w:next w:val="Normal"/>
    <w:autoRedefine/>
    <w:uiPriority w:val="39"/>
    <w:unhideWhenUsed/>
    <w:rsid w:val="001C6457"/>
    <w:pPr>
      <w:spacing w:after="100"/>
      <w:ind w:left="220"/>
    </w:pPr>
  </w:style>
  <w:style w:type="character" w:customStyle="1" w:styleId="Ttulo3Car">
    <w:name w:val="Título 3 Car"/>
    <w:basedOn w:val="Fuentedeprrafopredeter"/>
    <w:link w:val="Ttulo3"/>
    <w:uiPriority w:val="9"/>
    <w:rsid w:val="001C6457"/>
    <w:rPr>
      <w:rFonts w:ascii="Calibri" w:eastAsiaTheme="majorEastAsia" w:hAnsi="Calibri" w:cstheme="majorBidi"/>
      <w:color w:val="000000" w:themeColor="text1"/>
      <w:szCs w:val="24"/>
      <w:lang w:val="es-ES"/>
    </w:rPr>
  </w:style>
  <w:style w:type="paragraph" w:styleId="TDC3">
    <w:name w:val="toc 3"/>
    <w:basedOn w:val="Normal"/>
    <w:next w:val="Normal"/>
    <w:autoRedefine/>
    <w:uiPriority w:val="39"/>
    <w:unhideWhenUsed/>
    <w:rsid w:val="00C56643"/>
    <w:pPr>
      <w:spacing w:after="100"/>
      <w:ind w:left="440"/>
    </w:pPr>
  </w:style>
  <w:style w:type="paragraph" w:styleId="Encabezado">
    <w:name w:val="header"/>
    <w:basedOn w:val="Normal"/>
    <w:link w:val="EncabezadoCar"/>
    <w:uiPriority w:val="99"/>
    <w:unhideWhenUsed/>
    <w:rsid w:val="00C56643"/>
    <w:pPr>
      <w:tabs>
        <w:tab w:val="center" w:pos="4419"/>
        <w:tab w:val="right" w:pos="8838"/>
      </w:tabs>
    </w:pPr>
  </w:style>
  <w:style w:type="character" w:customStyle="1" w:styleId="EncabezadoCar">
    <w:name w:val="Encabezado Car"/>
    <w:basedOn w:val="Fuentedeprrafopredeter"/>
    <w:link w:val="Encabezado"/>
    <w:uiPriority w:val="99"/>
    <w:rsid w:val="00C56643"/>
    <w:rPr>
      <w:rFonts w:ascii="Calibri" w:eastAsia="Calibri" w:hAnsi="Calibri" w:cs="Calibri"/>
      <w:lang w:val="es-ES"/>
    </w:rPr>
  </w:style>
  <w:style w:type="paragraph" w:styleId="Piedepgina">
    <w:name w:val="footer"/>
    <w:basedOn w:val="Normal"/>
    <w:link w:val="PiedepginaCar"/>
    <w:uiPriority w:val="99"/>
    <w:unhideWhenUsed/>
    <w:rsid w:val="00C56643"/>
    <w:pPr>
      <w:tabs>
        <w:tab w:val="center" w:pos="4419"/>
        <w:tab w:val="right" w:pos="8838"/>
      </w:tabs>
    </w:pPr>
  </w:style>
  <w:style w:type="character" w:customStyle="1" w:styleId="PiedepginaCar">
    <w:name w:val="Pie de página Car"/>
    <w:basedOn w:val="Fuentedeprrafopredeter"/>
    <w:link w:val="Piedepgina"/>
    <w:uiPriority w:val="99"/>
    <w:rsid w:val="00C56643"/>
    <w:rPr>
      <w:rFonts w:ascii="Calibri" w:eastAsia="Calibri" w:hAnsi="Calibri" w:cs="Calibri"/>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https://uccl0-my.sharepoint.com/personal/valeria_araya_uc_cl/Documents/Inventario%202026.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1" u="none" strike="noStrike" kern="1200" baseline="0">
                <a:solidFill>
                  <a:schemeClr val="tx2"/>
                </a:solidFill>
                <a:latin typeface="Calibri" panose="020F0502020204030204" pitchFamily="34" charset="0"/>
                <a:ea typeface="+mn-ea"/>
                <a:cs typeface="+mn-cs"/>
              </a:defRPr>
            </a:pPr>
            <a:r>
              <a:rPr lang="es-CL" sz="1200" b="1" i="1" u="none" strike="noStrike" baseline="0"/>
              <a:t>Disponibilidad de plantas nativas por especie en el vivero de la Fundación Alerce 3000 (2026)</a:t>
            </a:r>
            <a:endParaRPr lang="en-US" b="1" i="1"/>
          </a:p>
        </c:rich>
      </c:tx>
      <c:overlay val="0"/>
      <c:spPr>
        <a:noFill/>
        <a:ln>
          <a:noFill/>
        </a:ln>
        <a:effectLst/>
      </c:spPr>
      <c:txPr>
        <a:bodyPr rot="0" spcFirstLastPara="1" vertOverflow="ellipsis" vert="horz" wrap="square" anchor="ctr" anchorCtr="1"/>
        <a:lstStyle/>
        <a:p>
          <a:pPr>
            <a:defRPr sz="1200" b="0" i="1" u="none" strike="noStrike" kern="1200" baseline="0">
              <a:solidFill>
                <a:schemeClr val="tx2"/>
              </a:solidFill>
              <a:latin typeface="Calibri" panose="020F0502020204030204" pitchFamily="34" charset="0"/>
              <a:ea typeface="+mn-ea"/>
              <a:cs typeface="+mn-cs"/>
            </a:defRPr>
          </a:pPr>
          <a:endParaRPr lang="en-US"/>
        </a:p>
      </c:txPr>
    </c:title>
    <c:autoTitleDeleted val="0"/>
    <c:plotArea>
      <c:layout/>
      <c:barChart>
        <c:barDir val="bar"/>
        <c:grouping val="clustered"/>
        <c:varyColors val="1"/>
        <c:ser>
          <c:idx val="0"/>
          <c:order val="0"/>
          <c:tx>
            <c:strRef>
              <c:f>'Hoja1 (2)'!$K$4</c:f>
              <c:strCache>
                <c:ptCount val="1"/>
                <c:pt idx="0">
                  <c:v>N° de plantas</c:v>
                </c:pt>
              </c:strCache>
            </c:strRef>
          </c:tx>
          <c:spPr>
            <a:ln>
              <a:solidFill>
                <a:schemeClr val="tx1">
                  <a:lumMod val="95000"/>
                  <a:lumOff val="5000"/>
                </a:schemeClr>
              </a:solidFill>
            </a:ln>
          </c:spPr>
          <c:invertIfNegative val="0"/>
          <c:dPt>
            <c:idx val="0"/>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solidFill>
                  <a:schemeClr val="tx1">
                    <a:lumMod val="95000"/>
                    <a:lumOff val="5000"/>
                  </a:schemeClr>
                </a:solidFill>
              </a:ln>
              <a:effectLst/>
            </c:spPr>
            <c:extLst>
              <c:ext xmlns:c16="http://schemas.microsoft.com/office/drawing/2014/chart" uri="{C3380CC4-5D6E-409C-BE32-E72D297353CC}">
                <c16:uniqueId val="{00000001-43E3-444E-96CA-2E3492F87272}"/>
              </c:ext>
            </c:extLst>
          </c:dPt>
          <c:dPt>
            <c:idx val="1"/>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solidFill>
                  <a:schemeClr val="tx1">
                    <a:lumMod val="95000"/>
                    <a:lumOff val="5000"/>
                  </a:schemeClr>
                </a:solidFill>
              </a:ln>
              <a:effectLst/>
            </c:spPr>
            <c:extLst>
              <c:ext xmlns:c16="http://schemas.microsoft.com/office/drawing/2014/chart" uri="{C3380CC4-5D6E-409C-BE32-E72D297353CC}">
                <c16:uniqueId val="{00000003-43E3-444E-96CA-2E3492F87272}"/>
              </c:ext>
            </c:extLst>
          </c:dPt>
          <c:dPt>
            <c:idx val="2"/>
            <c:invertIfNegative val="0"/>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solidFill>
                  <a:schemeClr val="tx1">
                    <a:lumMod val="95000"/>
                    <a:lumOff val="5000"/>
                  </a:schemeClr>
                </a:solidFill>
              </a:ln>
              <a:effectLst/>
            </c:spPr>
            <c:extLst>
              <c:ext xmlns:c16="http://schemas.microsoft.com/office/drawing/2014/chart" uri="{C3380CC4-5D6E-409C-BE32-E72D297353CC}">
                <c16:uniqueId val="{00000005-43E3-444E-96CA-2E3492F87272}"/>
              </c:ext>
            </c:extLst>
          </c:dPt>
          <c:dPt>
            <c:idx val="3"/>
            <c:invertIfNegative val="0"/>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solidFill>
                  <a:schemeClr val="tx1">
                    <a:lumMod val="95000"/>
                    <a:lumOff val="5000"/>
                  </a:schemeClr>
                </a:solidFill>
              </a:ln>
              <a:effectLst/>
            </c:spPr>
            <c:extLst>
              <c:ext xmlns:c16="http://schemas.microsoft.com/office/drawing/2014/chart" uri="{C3380CC4-5D6E-409C-BE32-E72D297353CC}">
                <c16:uniqueId val="{00000007-43E3-444E-96CA-2E3492F87272}"/>
              </c:ext>
            </c:extLst>
          </c:dPt>
          <c:dPt>
            <c:idx val="4"/>
            <c:invertIfNegative val="0"/>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solidFill>
                  <a:schemeClr val="tx1">
                    <a:lumMod val="95000"/>
                    <a:lumOff val="5000"/>
                  </a:schemeClr>
                </a:solidFill>
              </a:ln>
              <a:effectLst/>
            </c:spPr>
            <c:extLst>
              <c:ext xmlns:c16="http://schemas.microsoft.com/office/drawing/2014/chart" uri="{C3380CC4-5D6E-409C-BE32-E72D297353CC}">
                <c16:uniqueId val="{00000009-43E3-444E-96CA-2E3492F87272}"/>
              </c:ext>
            </c:extLst>
          </c:dPt>
          <c:dPt>
            <c:idx val="5"/>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solidFill>
                  <a:schemeClr val="tx1">
                    <a:lumMod val="95000"/>
                    <a:lumOff val="5000"/>
                  </a:schemeClr>
                </a:solidFill>
              </a:ln>
              <a:effectLst/>
            </c:spPr>
            <c:extLst>
              <c:ext xmlns:c16="http://schemas.microsoft.com/office/drawing/2014/chart" uri="{C3380CC4-5D6E-409C-BE32-E72D297353CC}">
                <c16:uniqueId val="{0000000B-43E3-444E-96CA-2E3492F87272}"/>
              </c:ext>
            </c:extLst>
          </c:dPt>
          <c:dPt>
            <c:idx val="6"/>
            <c:invertIfNegative val="0"/>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solidFill>
                  <a:schemeClr val="tx1">
                    <a:lumMod val="95000"/>
                    <a:lumOff val="5000"/>
                  </a:schemeClr>
                </a:solidFill>
              </a:ln>
              <a:effectLst/>
            </c:spPr>
            <c:extLst>
              <c:ext xmlns:c16="http://schemas.microsoft.com/office/drawing/2014/chart" uri="{C3380CC4-5D6E-409C-BE32-E72D297353CC}">
                <c16:uniqueId val="{0000000D-43E3-444E-96CA-2E3492F87272}"/>
              </c:ext>
            </c:extLst>
          </c:dPt>
          <c:dPt>
            <c:idx val="7"/>
            <c:invertIfNegative val="0"/>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solidFill>
                  <a:schemeClr val="tx1">
                    <a:lumMod val="95000"/>
                    <a:lumOff val="5000"/>
                  </a:schemeClr>
                </a:solidFill>
              </a:ln>
              <a:effectLst/>
            </c:spPr>
            <c:extLst>
              <c:ext xmlns:c16="http://schemas.microsoft.com/office/drawing/2014/chart" uri="{C3380CC4-5D6E-409C-BE32-E72D297353CC}">
                <c16:uniqueId val="{0000000F-43E3-444E-96CA-2E3492F87272}"/>
              </c:ext>
            </c:extLst>
          </c:dPt>
          <c:dPt>
            <c:idx val="8"/>
            <c:invertIfNegative val="0"/>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solidFill>
                  <a:schemeClr val="tx1">
                    <a:lumMod val="95000"/>
                    <a:lumOff val="5000"/>
                  </a:schemeClr>
                </a:solidFill>
              </a:ln>
              <a:effectLst/>
            </c:spPr>
            <c:extLst>
              <c:ext xmlns:c16="http://schemas.microsoft.com/office/drawing/2014/chart" uri="{C3380CC4-5D6E-409C-BE32-E72D297353CC}">
                <c16:uniqueId val="{00000011-43E3-444E-96CA-2E3492F87272}"/>
              </c:ext>
            </c:extLst>
          </c:dPt>
          <c:dPt>
            <c:idx val="9"/>
            <c:invertIfNegative val="0"/>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solidFill>
                  <a:schemeClr val="tx1">
                    <a:lumMod val="95000"/>
                    <a:lumOff val="5000"/>
                  </a:schemeClr>
                </a:solidFill>
              </a:ln>
              <a:effectLst/>
            </c:spPr>
            <c:extLst>
              <c:ext xmlns:c16="http://schemas.microsoft.com/office/drawing/2014/chart" uri="{C3380CC4-5D6E-409C-BE32-E72D297353CC}">
                <c16:uniqueId val="{00000013-43E3-444E-96CA-2E3492F87272}"/>
              </c:ext>
            </c:extLst>
          </c:dPt>
          <c:dPt>
            <c:idx val="10"/>
            <c:invertIfNegative val="0"/>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solidFill>
                  <a:schemeClr val="tx1">
                    <a:lumMod val="95000"/>
                    <a:lumOff val="5000"/>
                  </a:schemeClr>
                </a:solidFill>
              </a:ln>
              <a:effectLst/>
            </c:spPr>
            <c:extLst>
              <c:ext xmlns:c16="http://schemas.microsoft.com/office/drawing/2014/chart" uri="{C3380CC4-5D6E-409C-BE32-E72D297353CC}">
                <c16:uniqueId val="{00000015-43E3-444E-96CA-2E3492F87272}"/>
              </c:ext>
            </c:extLst>
          </c:dPt>
          <c:dPt>
            <c:idx val="11"/>
            <c:invertIfNegative val="0"/>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solidFill>
                  <a:schemeClr val="tx1">
                    <a:lumMod val="95000"/>
                    <a:lumOff val="5000"/>
                  </a:schemeClr>
                </a:solidFill>
              </a:ln>
              <a:effectLst/>
            </c:spPr>
            <c:extLst>
              <c:ext xmlns:c16="http://schemas.microsoft.com/office/drawing/2014/chart" uri="{C3380CC4-5D6E-409C-BE32-E72D297353CC}">
                <c16:uniqueId val="{00000017-43E3-444E-96CA-2E3492F87272}"/>
              </c:ext>
            </c:extLst>
          </c:dPt>
          <c:dPt>
            <c:idx val="12"/>
            <c:invertIfNegative val="0"/>
            <c:bubble3D val="0"/>
            <c:spPr>
              <a:gradFill rotWithShape="1">
                <a:gsLst>
                  <a:gs pos="0">
                    <a:schemeClr val="accent1">
                      <a:lumMod val="80000"/>
                      <a:lumOff val="20000"/>
                      <a:satMod val="103000"/>
                      <a:lumMod val="102000"/>
                      <a:tint val="94000"/>
                    </a:schemeClr>
                  </a:gs>
                  <a:gs pos="50000">
                    <a:schemeClr val="accent1">
                      <a:lumMod val="80000"/>
                      <a:lumOff val="20000"/>
                      <a:satMod val="110000"/>
                      <a:lumMod val="100000"/>
                      <a:shade val="100000"/>
                    </a:schemeClr>
                  </a:gs>
                  <a:gs pos="100000">
                    <a:schemeClr val="accent1">
                      <a:lumMod val="80000"/>
                      <a:lumOff val="20000"/>
                      <a:lumMod val="99000"/>
                      <a:satMod val="120000"/>
                      <a:shade val="78000"/>
                    </a:schemeClr>
                  </a:gs>
                </a:gsLst>
                <a:lin ang="5400000" scaled="0"/>
              </a:gradFill>
              <a:ln>
                <a:solidFill>
                  <a:schemeClr val="tx1">
                    <a:lumMod val="95000"/>
                    <a:lumOff val="5000"/>
                  </a:schemeClr>
                </a:solidFill>
              </a:ln>
              <a:effectLst/>
            </c:spPr>
            <c:extLst>
              <c:ext xmlns:c16="http://schemas.microsoft.com/office/drawing/2014/chart" uri="{C3380CC4-5D6E-409C-BE32-E72D297353CC}">
                <c16:uniqueId val="{00000019-43E3-444E-96CA-2E3492F87272}"/>
              </c:ext>
            </c:extLst>
          </c:dPt>
          <c:cat>
            <c:strRef>
              <c:f>'Hoja1 (2)'!$J$5:$J$17</c:f>
              <c:strCache>
                <c:ptCount val="13"/>
                <c:pt idx="0">
                  <c:v>Amomyrtus luma</c:v>
                </c:pt>
                <c:pt idx="1">
                  <c:v>Drimys winteri</c:v>
                </c:pt>
                <c:pt idx="2">
                  <c:v>Eucryphia cordifolia</c:v>
                </c:pt>
                <c:pt idx="3">
                  <c:v>Fitzroya cupressoides</c:v>
                </c:pt>
                <c:pt idx="4">
                  <c:v>Gevuina avellana</c:v>
                </c:pt>
                <c:pt idx="5">
                  <c:v>Lomatia ferruginea</c:v>
                </c:pt>
                <c:pt idx="6">
                  <c:v>Luma apiculata</c:v>
                </c:pt>
                <c:pt idx="7">
                  <c:v>Nothofagus dombeyi</c:v>
                </c:pt>
                <c:pt idx="8">
                  <c:v>Pilgerodendron uviferum</c:v>
                </c:pt>
                <c:pt idx="9">
                  <c:v>Podocarpus nibigenus</c:v>
                </c:pt>
                <c:pt idx="10">
                  <c:v>Rhaphithamnus spinosus</c:v>
                </c:pt>
                <c:pt idx="11">
                  <c:v>Saxegothaea conspicua</c:v>
                </c:pt>
                <c:pt idx="12">
                  <c:v>Ugni molinae</c:v>
                </c:pt>
              </c:strCache>
            </c:strRef>
          </c:cat>
          <c:val>
            <c:numRef>
              <c:f>'Hoja1 (2)'!$K$5:$K$17</c:f>
              <c:numCache>
                <c:formatCode>General</c:formatCode>
                <c:ptCount val="13"/>
                <c:pt idx="0">
                  <c:v>12102</c:v>
                </c:pt>
                <c:pt idx="1">
                  <c:v>4446</c:v>
                </c:pt>
                <c:pt idx="2">
                  <c:v>893</c:v>
                </c:pt>
                <c:pt idx="3">
                  <c:v>82804</c:v>
                </c:pt>
                <c:pt idx="4">
                  <c:v>6604</c:v>
                </c:pt>
                <c:pt idx="5">
                  <c:v>954</c:v>
                </c:pt>
                <c:pt idx="6">
                  <c:v>1629</c:v>
                </c:pt>
                <c:pt idx="7">
                  <c:v>4138</c:v>
                </c:pt>
                <c:pt idx="8">
                  <c:v>313</c:v>
                </c:pt>
                <c:pt idx="9">
                  <c:v>1501</c:v>
                </c:pt>
                <c:pt idx="10">
                  <c:v>1736</c:v>
                </c:pt>
                <c:pt idx="11">
                  <c:v>437</c:v>
                </c:pt>
                <c:pt idx="12">
                  <c:v>1044</c:v>
                </c:pt>
              </c:numCache>
            </c:numRef>
          </c:val>
          <c:extLst>
            <c:ext xmlns:c16="http://schemas.microsoft.com/office/drawing/2014/chart" uri="{C3380CC4-5D6E-409C-BE32-E72D297353CC}">
              <c16:uniqueId val="{0000001A-43E3-444E-96CA-2E3492F87272}"/>
            </c:ext>
          </c:extLst>
        </c:ser>
        <c:dLbls>
          <c:showLegendKey val="0"/>
          <c:showVal val="0"/>
          <c:showCatName val="0"/>
          <c:showSerName val="0"/>
          <c:showPercent val="0"/>
          <c:showBubbleSize val="0"/>
        </c:dLbls>
        <c:gapWidth val="100"/>
        <c:axId val="1218540464"/>
        <c:axId val="1218538544"/>
      </c:barChart>
      <c:catAx>
        <c:axId val="1218540464"/>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0" i="1" u="none" strike="noStrike" kern="1200" baseline="0">
                <a:solidFill>
                  <a:schemeClr val="tx2"/>
                </a:solidFill>
                <a:latin typeface="Calibri" panose="020F0502020204030204" pitchFamily="34" charset="0"/>
                <a:ea typeface="+mn-ea"/>
                <a:cs typeface="+mn-cs"/>
              </a:defRPr>
            </a:pPr>
            <a:endParaRPr lang="es-CL"/>
          </a:p>
        </c:txPr>
        <c:crossAx val="1218538544"/>
        <c:crosses val="autoZero"/>
        <c:auto val="1"/>
        <c:lblAlgn val="ctr"/>
        <c:lblOffset val="100"/>
        <c:noMultiLvlLbl val="0"/>
      </c:catAx>
      <c:valAx>
        <c:axId val="1218538544"/>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1" u="none" strike="noStrike" kern="1200" baseline="0">
                <a:solidFill>
                  <a:schemeClr val="tx2"/>
                </a:solidFill>
                <a:latin typeface="Calibri" panose="020F0502020204030204" pitchFamily="34" charset="0"/>
                <a:ea typeface="+mn-ea"/>
                <a:cs typeface="+mn-cs"/>
              </a:defRPr>
            </a:pPr>
            <a:endParaRPr lang="es-CL"/>
          </a:p>
        </c:txPr>
        <c:crossAx val="1218540464"/>
        <c:crosses val="autoZero"/>
        <c:crossBetween val="between"/>
        <c:dispUnits>
          <c:builtInUnit val="tenThousands"/>
          <c:dispUnitsLbl>
            <c:spPr>
              <a:noFill/>
              <a:ln>
                <a:noFill/>
              </a:ln>
              <a:effectLst/>
            </c:spPr>
            <c:txPr>
              <a:bodyPr rot="0" spcFirstLastPara="1" vertOverflow="ellipsis" vert="horz" wrap="square" anchor="ctr" anchorCtr="1"/>
              <a:lstStyle/>
              <a:p>
                <a:pPr>
                  <a:defRPr sz="1000" b="0" i="1" u="none" strike="noStrike" kern="1200" baseline="0">
                    <a:solidFill>
                      <a:schemeClr val="tx2"/>
                    </a:solidFill>
                    <a:latin typeface="Calibri" panose="020F0502020204030204" pitchFamily="34" charset="0"/>
                    <a:ea typeface="+mn-ea"/>
                    <a:cs typeface="+mn-cs"/>
                  </a:defRPr>
                </a:pPr>
                <a:endParaRPr lang="es-CL"/>
              </a:p>
            </c:txPr>
          </c:dispUnitsLbl>
        </c:dispUnits>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sz="1000" b="0" i="1" baseline="0">
          <a:latin typeface="Calibri" panose="020F0502020204030204" pitchFamily="34" charset="0"/>
        </a:defRPr>
      </a:pPr>
      <a:endParaRPr lang="es-C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09d2cbf-ba06-4f00-b36d-bfbeae8ad289">
      <Terms xmlns="http://schemas.microsoft.com/office/infopath/2007/PartnerControls"/>
    </lcf76f155ced4ddcb4097134ff3c332f>
    <TaxCatchAll xmlns="20795aa9-ceb9-4ce3-82c6-ba346456cf7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B5DC0DFD5C5D8458275BAE794AD64EB" ma:contentTypeVersion="10" ma:contentTypeDescription="Create a new document." ma:contentTypeScope="" ma:versionID="df59e4b3b1c5230e54fe20ab09b26f2a">
  <xsd:schema xmlns:xsd="http://www.w3.org/2001/XMLSchema" xmlns:xs="http://www.w3.org/2001/XMLSchema" xmlns:p="http://schemas.microsoft.com/office/2006/metadata/properties" xmlns:ns2="709d2cbf-ba06-4f00-b36d-bfbeae8ad289" xmlns:ns3="20795aa9-ceb9-4ce3-82c6-ba346456cf7f" targetNamespace="http://schemas.microsoft.com/office/2006/metadata/properties" ma:root="true" ma:fieldsID="d196c2174f45a2b7d89c7bb708357364" ns2:_="" ns3:_="">
    <xsd:import namespace="709d2cbf-ba06-4f00-b36d-bfbeae8ad289"/>
    <xsd:import namespace="20795aa9-ceb9-4ce3-82c6-ba346456cf7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9d2cbf-ba06-4f00-b36d-bfbeae8ad2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c44c076-1990-432d-b910-f78c9fed31b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795aa9-ceb9-4ce3-82c6-ba346456cf7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aaa5daa-5ac1-4539-815f-0a4108d0eae9}" ma:internalName="TaxCatchAll" ma:showField="CatchAllData" ma:web="20795aa9-ceb9-4ce3-82c6-ba346456cf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B5F205-BEF6-4F06-A30A-818B666E2E05}">
  <ds:schemaRefs>
    <ds:schemaRef ds:uri="http://schemas.openxmlformats.org/officeDocument/2006/bibliography"/>
  </ds:schemaRefs>
</ds:datastoreItem>
</file>

<file path=customXml/itemProps2.xml><?xml version="1.0" encoding="utf-8"?>
<ds:datastoreItem xmlns:ds="http://schemas.openxmlformats.org/officeDocument/2006/customXml" ds:itemID="{C020FAE6-5CA1-4B03-9314-FFEC4ED851C7}">
  <ds:schemaRefs>
    <ds:schemaRef ds:uri="http://schemas.microsoft.com/sharepoint/v3/contenttype/forms"/>
  </ds:schemaRefs>
</ds:datastoreItem>
</file>

<file path=customXml/itemProps3.xml><?xml version="1.0" encoding="utf-8"?>
<ds:datastoreItem xmlns:ds="http://schemas.openxmlformats.org/officeDocument/2006/customXml" ds:itemID="{B2494A14-1DC7-4503-90F3-E3AD05769FEB}">
  <ds:schemaRefs>
    <ds:schemaRef ds:uri="http://schemas.microsoft.com/office/2006/metadata/properties"/>
    <ds:schemaRef ds:uri="http://schemas.microsoft.com/office/infopath/2007/PartnerControls"/>
    <ds:schemaRef ds:uri="709d2cbf-ba06-4f00-b36d-bfbeae8ad289"/>
    <ds:schemaRef ds:uri="20795aa9-ceb9-4ce3-82c6-ba346456cf7f"/>
  </ds:schemaRefs>
</ds:datastoreItem>
</file>

<file path=customXml/itemProps4.xml><?xml version="1.0" encoding="utf-8"?>
<ds:datastoreItem xmlns:ds="http://schemas.openxmlformats.org/officeDocument/2006/customXml" ds:itemID="{0A675C75-7EBA-441D-99FB-4FCF6F0C5D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9d2cbf-ba06-4f00-b36d-bfbeae8ad289"/>
    <ds:schemaRef ds:uri="20795aa9-ceb9-4ce3-82c6-ba346456cf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922</TotalTime>
  <Pages>12</Pages>
  <Words>3364</Words>
  <Characters>18506</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VRA_DADO</dc:creator>
  <cp:lastModifiedBy>Valeria Antonia Araya Valenzuela</cp:lastModifiedBy>
  <cp:revision>32</cp:revision>
  <dcterms:created xsi:type="dcterms:W3CDTF">2026-03-24T22:51:00Z</dcterms:created>
  <dcterms:modified xsi:type="dcterms:W3CDTF">2026-03-31T23:56:00Z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2024-12-02T00:00:00Z</vt:filetime>
  </property>
  <property fmtid="{D5CDD505-2E9C-101B-9397-08002B2CF9AE}" pid="3" name="Creator">
    <vt:lpwstr>Microsoft® Word para Microsoft 365</vt:lpwstr>
  </property>
  <property fmtid="{D5CDD505-2E9C-101B-9397-08002B2CF9AE}" pid="4" name="LastSaved">
    <vt:filetime>2025-07-20T00:00:00Z</vt:filetime>
  </property>
  <property fmtid="{D5CDD505-2E9C-101B-9397-08002B2CF9AE}" pid="5" name="Producer">
    <vt:lpwstr>Microsoft® Word para Microsoft 365</vt:lpwstr>
  </property>
  <property fmtid="{D5CDD505-2E9C-101B-9397-08002B2CF9AE}" pid="6" name="ContentTypeId">
    <vt:lpwstr>0x0101009B5DC0DFD5C5D8458275BAE794AD64EB</vt:lpwstr>
  </property>
  <property fmtid="{D5CDD505-2E9C-101B-9397-08002B2CF9AE}" pid="7" name="MediaServiceImageTags">
    <vt:lpwstr/>
  </property>
</Properties>
</file>